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pPr>
        <w:jc w:val="center"/>
        <w:rPr>
          <w:rFonts w:ascii="宋体" w:eastAsia="宋体" w:hAnsi="宋体" w:hint="eastAsia"/>
          <w:b/>
          <w:sz w:val="48"/>
          <w:szCs w:val="48"/>
          <w:lang w:val="en-US" w:eastAsia="zh-CN"/>
        </w:rPr>
      </w:pPr>
    </w:p>
    <w:p>
      <w:pPr>
        <w:jc w:val="center"/>
        <w:rPr>
          <w:rFonts w:ascii="宋体" w:eastAsia="宋体" w:hAnsi="宋体" w:hint="eastAsia"/>
          <w:b/>
          <w:sz w:val="48"/>
          <w:szCs w:val="48"/>
          <w:lang w:val="en-US" w:eastAsia="zh-CN"/>
        </w:rPr>
      </w:pPr>
    </w:p>
    <w:p>
      <w:pPr>
        <w:adjustRightInd w:val="0"/>
        <w:snapToGrid w:val="0"/>
        <w:spacing w:line="360" w:lineRule="auto"/>
        <w:jc w:val="center"/>
        <w:rPr>
          <w:rFonts w:ascii="华文中宋" w:eastAsia="华文中宋" w:hAnsi="华文中宋" w:cs="华文中宋" w:hint="eastAsia"/>
          <w:b/>
          <w:color w:val="auto"/>
          <w:sz w:val="48"/>
          <w:szCs w:val="48"/>
          <w:lang w:val="en-US" w:eastAsia="zh-CN"/>
        </w:rPr>
      </w:pPr>
      <w:bookmarkStart w:id="0" w:name="_GoBack"/>
      <w:r>
        <w:rPr>
          <w:rFonts w:ascii="华文中宋" w:eastAsia="华文中宋" w:hAnsi="华文中宋" w:cs="华文中宋" w:hint="eastAsia"/>
          <w:b/>
          <w:color w:val="auto"/>
          <w:sz w:val="48"/>
          <w:szCs w:val="48"/>
          <w:lang w:val="en-US" w:eastAsia="zh-CN"/>
        </w:rPr>
        <w:t>寿县档案馆2020年度部门决算</w:t>
      </w:r>
    </w:p>
    <w:bookmarkEnd w:id="0"/>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both"/>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pStyle w:val="NormalWeb"/>
        <w:adjustRightInd w:val="0"/>
        <w:snapToGrid w:val="0"/>
        <w:spacing w:before="0" w:beforeAutospacing="0" w:after="0" w:afterAutospacing="0" w:line="360" w:lineRule="auto"/>
        <w:jc w:val="center"/>
        <w:rPr>
          <w:rFonts w:ascii="黑体" w:eastAsia="黑体" w:hAnsi="黑体" w:hint="eastAsia"/>
          <w:bCs/>
          <w:color w:val="auto"/>
          <w:sz w:val="44"/>
          <w:szCs w:val="44"/>
        </w:rPr>
      </w:pPr>
      <w:r>
        <w:rPr>
          <w:rFonts w:ascii="黑体" w:eastAsia="黑体" w:hAnsi="黑体" w:hint="eastAsia"/>
          <w:bCs/>
          <w:color w:val="auto"/>
          <w:sz w:val="44"/>
          <w:szCs w:val="44"/>
        </w:rPr>
        <w:t>20</w:t>
      </w:r>
      <w:r>
        <w:rPr>
          <w:rFonts w:ascii="黑体" w:eastAsia="黑体" w:hAnsi="黑体" w:hint="eastAsia"/>
          <w:bCs/>
          <w:color w:val="auto"/>
          <w:sz w:val="44"/>
          <w:szCs w:val="44"/>
          <w:lang w:val="en-US" w:eastAsia="zh-CN"/>
        </w:rPr>
        <w:t>21</w:t>
      </w:r>
      <w:r>
        <w:rPr>
          <w:rFonts w:ascii="黑体" w:eastAsia="黑体" w:hAnsi="黑体" w:hint="eastAsia"/>
          <w:bCs/>
          <w:color w:val="auto"/>
          <w:sz w:val="44"/>
          <w:szCs w:val="44"/>
        </w:rPr>
        <w:t>年</w:t>
      </w:r>
      <w:r>
        <w:rPr>
          <w:rFonts w:ascii="黑体" w:eastAsia="黑体" w:hAnsi="黑体" w:hint="eastAsia"/>
          <w:bCs/>
          <w:color w:val="auto"/>
          <w:sz w:val="44"/>
          <w:szCs w:val="44"/>
          <w:lang w:val="en-US" w:eastAsia="zh-CN"/>
        </w:rPr>
        <w:t>7</w:t>
      </w:r>
      <w:r>
        <w:rPr>
          <w:rFonts w:ascii="黑体" w:eastAsia="黑体" w:hAnsi="黑体" w:hint="eastAsia"/>
          <w:bCs/>
          <w:color w:val="auto"/>
          <w:sz w:val="44"/>
          <w:szCs w:val="44"/>
        </w:rPr>
        <w:t>月</w:t>
      </w:r>
    </w:p>
    <w:p>
      <w:pPr>
        <w:jc w:val="center"/>
        <w:rPr>
          <w:rFonts w:ascii="宋体" w:eastAsia="宋体" w:hAnsi="宋体" w:hint="eastAsia"/>
          <w:b/>
          <w:color w:val="auto"/>
          <w:sz w:val="44"/>
          <w:szCs w:val="44"/>
        </w:rPr>
      </w:pPr>
    </w:p>
    <w:p>
      <w:pPr>
        <w:jc w:val="center"/>
        <w:rPr>
          <w:rFonts w:ascii="宋体" w:eastAsia="宋体" w:hAnsi="宋体" w:hint="eastAsia"/>
          <w:b/>
          <w:color w:val="auto"/>
          <w:sz w:val="44"/>
          <w:szCs w:val="44"/>
        </w:rPr>
      </w:pPr>
    </w:p>
    <w:p>
      <w:pPr>
        <w:jc w:val="both"/>
        <w:rPr>
          <w:rFonts w:ascii="宋体" w:eastAsia="宋体" w:hAnsi="宋体" w:hint="eastAsia"/>
          <w:b/>
          <w:color w:val="auto"/>
          <w:sz w:val="44"/>
          <w:szCs w:val="44"/>
        </w:rPr>
      </w:pPr>
    </w:p>
    <w:p>
      <w:pPr>
        <w:jc w:val="both"/>
        <w:rPr>
          <w:rFonts w:ascii="宋体" w:eastAsia="宋体" w:hAnsi="宋体" w:hint="eastAsia"/>
          <w:b/>
          <w:color w:val="auto"/>
          <w:sz w:val="44"/>
          <w:szCs w:val="44"/>
        </w:rPr>
      </w:pPr>
    </w:p>
    <w:p>
      <w:pPr>
        <w:spacing w:line="580" w:lineRule="exact"/>
        <w:jc w:val="center"/>
        <w:rPr>
          <w:rFonts w:ascii="黑体" w:eastAsia="黑体" w:hAnsi="宋体" w:hint="eastAsia"/>
          <w:bCs/>
          <w:color w:val="auto"/>
          <w:sz w:val="48"/>
          <w:szCs w:val="48"/>
        </w:rPr>
      </w:pPr>
      <w:r>
        <w:rPr>
          <w:rFonts w:ascii="黑体" w:eastAsia="黑体" w:hAnsi="宋体" w:hint="eastAsia"/>
          <w:bCs/>
          <w:color w:val="auto"/>
          <w:sz w:val="48"/>
          <w:szCs w:val="48"/>
        </w:rPr>
        <w:t>目 录</w:t>
      </w:r>
    </w:p>
    <w:p>
      <w:pPr>
        <w:spacing w:line="550" w:lineRule="exact"/>
        <w:rPr>
          <w:rFonts w:ascii="宋体" w:hAnsi="宋体" w:hint="eastAsia"/>
          <w:b/>
          <w:color w:val="auto"/>
          <w:sz w:val="36"/>
          <w:szCs w:val="36"/>
        </w:rPr>
      </w:pPr>
      <w:r>
        <w:rPr>
          <w:rFonts w:ascii="宋体" w:hAnsi="宋体" w:hint="eastAsia"/>
          <w:b/>
          <w:color w:val="auto"/>
          <w:sz w:val="36"/>
          <w:szCs w:val="36"/>
        </w:rPr>
        <w:t xml:space="preserve">第一部分 </w:t>
      </w:r>
      <w:r>
        <w:rPr>
          <w:rFonts w:ascii="宋体" w:hAnsi="宋体" w:hint="eastAsia"/>
          <w:b/>
          <w:color w:val="auto"/>
          <w:sz w:val="36"/>
          <w:szCs w:val="36"/>
          <w:lang w:val="en-US" w:eastAsia="zh-CN"/>
        </w:rPr>
        <w:t>寿县</w:t>
      </w:r>
      <w:r>
        <w:rPr>
          <w:rFonts w:ascii="宋体" w:hAnsi="宋体" w:hint="eastAsia"/>
          <w:b/>
          <w:color w:val="auto"/>
          <w:sz w:val="36"/>
          <w:szCs w:val="36"/>
          <w:lang w:eastAsia="zh-CN"/>
        </w:rPr>
        <w:t>档案馆</w:t>
      </w:r>
      <w:r>
        <w:rPr>
          <w:rFonts w:ascii="宋体" w:hAnsi="宋体" w:hint="eastAsia"/>
          <w:b/>
          <w:color w:val="auto"/>
          <w:sz w:val="36"/>
          <w:szCs w:val="36"/>
        </w:rPr>
        <w:t>概况</w:t>
      </w:r>
    </w:p>
    <w:p>
      <w:pPr>
        <w:spacing w:line="550" w:lineRule="exact"/>
        <w:rPr>
          <w:rFonts w:ascii="宋体" w:hAnsi="宋体" w:hint="eastAsia"/>
          <w:bCs/>
          <w:color w:val="auto"/>
          <w:sz w:val="36"/>
          <w:szCs w:val="36"/>
        </w:rPr>
      </w:pPr>
      <w:r>
        <w:rPr>
          <w:rFonts w:ascii="宋体" w:hAnsi="宋体" w:hint="eastAsia"/>
          <w:bCs/>
          <w:color w:val="auto"/>
          <w:sz w:val="36"/>
          <w:szCs w:val="36"/>
        </w:rPr>
        <w:t>一、部门职责</w:t>
      </w:r>
    </w:p>
    <w:p>
      <w:pPr>
        <w:spacing w:line="550" w:lineRule="exact"/>
        <w:rPr>
          <w:rFonts w:ascii="宋体" w:hAnsi="宋体" w:hint="eastAsia"/>
          <w:bCs/>
          <w:color w:val="auto"/>
          <w:sz w:val="36"/>
          <w:szCs w:val="36"/>
        </w:rPr>
      </w:pPr>
      <w:r>
        <w:rPr>
          <w:rFonts w:ascii="宋体" w:hAnsi="宋体" w:hint="eastAsia"/>
          <w:bCs/>
          <w:color w:val="auto"/>
          <w:sz w:val="36"/>
          <w:szCs w:val="36"/>
        </w:rPr>
        <w:t>二、机构设置</w:t>
      </w:r>
    </w:p>
    <w:p>
      <w:pPr>
        <w:spacing w:line="550" w:lineRule="exact"/>
        <w:rPr>
          <w:rFonts w:ascii="宋体" w:hAnsi="宋体" w:hint="eastAsia"/>
          <w:b/>
          <w:color w:val="auto"/>
          <w:sz w:val="36"/>
          <w:szCs w:val="36"/>
        </w:rPr>
      </w:pPr>
      <w:r>
        <w:rPr>
          <w:rFonts w:ascii="宋体" w:hAnsi="宋体" w:hint="eastAsia"/>
          <w:b/>
          <w:color w:val="auto"/>
          <w:sz w:val="36"/>
          <w:szCs w:val="36"/>
        </w:rPr>
        <w:t xml:space="preserve">第二部分 </w:t>
      </w:r>
      <w:r>
        <w:rPr>
          <w:rFonts w:ascii="宋体" w:hAnsi="宋体" w:hint="eastAsia"/>
          <w:b/>
          <w:color w:val="auto"/>
          <w:sz w:val="36"/>
          <w:szCs w:val="36"/>
          <w:lang w:val="en-US" w:eastAsia="zh-CN"/>
        </w:rPr>
        <w:t>寿县</w:t>
      </w:r>
      <w:r>
        <w:rPr>
          <w:rFonts w:ascii="宋体" w:hAnsi="宋体" w:hint="eastAsia"/>
          <w:b/>
          <w:color w:val="auto"/>
          <w:sz w:val="36"/>
          <w:szCs w:val="36"/>
          <w:lang w:eastAsia="zh-CN"/>
        </w:rPr>
        <w:t>档案馆</w:t>
      </w:r>
      <w:r>
        <w:rPr>
          <w:rFonts w:ascii="宋体" w:hAnsi="宋体" w:hint="eastAsia"/>
          <w:b/>
          <w:color w:val="auto"/>
          <w:sz w:val="36"/>
          <w:szCs w:val="36"/>
        </w:rPr>
        <w:t>2020年度部门决算表</w:t>
      </w:r>
    </w:p>
    <w:p>
      <w:pPr>
        <w:spacing w:line="550" w:lineRule="exact"/>
        <w:rPr>
          <w:rFonts w:ascii="宋体" w:hAnsi="宋体" w:hint="eastAsia"/>
          <w:bCs/>
          <w:color w:val="auto"/>
          <w:sz w:val="36"/>
          <w:szCs w:val="36"/>
        </w:rPr>
      </w:pPr>
      <w:r>
        <w:rPr>
          <w:rFonts w:ascii="宋体" w:hAnsi="宋体" w:hint="eastAsia"/>
          <w:bCs/>
          <w:color w:val="auto"/>
          <w:sz w:val="36"/>
          <w:szCs w:val="36"/>
        </w:rPr>
        <w:t>一、收入支出决算总表</w:t>
      </w:r>
    </w:p>
    <w:p>
      <w:pPr>
        <w:spacing w:line="550" w:lineRule="exact"/>
        <w:rPr>
          <w:rFonts w:ascii="宋体" w:hAnsi="宋体" w:hint="eastAsia"/>
          <w:bCs/>
          <w:color w:val="auto"/>
          <w:sz w:val="36"/>
          <w:szCs w:val="36"/>
        </w:rPr>
      </w:pPr>
      <w:r>
        <w:rPr>
          <w:rFonts w:ascii="宋体" w:hAnsi="宋体" w:hint="eastAsia"/>
          <w:bCs/>
          <w:color w:val="auto"/>
          <w:sz w:val="36"/>
          <w:szCs w:val="36"/>
        </w:rPr>
        <w:t>二、收入决算表</w:t>
      </w:r>
    </w:p>
    <w:p>
      <w:pPr>
        <w:spacing w:line="550" w:lineRule="exact"/>
        <w:rPr>
          <w:rFonts w:ascii="宋体" w:hAnsi="宋体" w:hint="eastAsia"/>
          <w:bCs/>
          <w:color w:val="auto"/>
          <w:sz w:val="36"/>
          <w:szCs w:val="36"/>
        </w:rPr>
      </w:pPr>
      <w:r>
        <w:rPr>
          <w:rFonts w:ascii="宋体" w:hAnsi="宋体" w:hint="eastAsia"/>
          <w:bCs/>
          <w:color w:val="auto"/>
          <w:sz w:val="36"/>
          <w:szCs w:val="36"/>
        </w:rPr>
        <w:t>三、支出决算表</w:t>
      </w:r>
    </w:p>
    <w:p>
      <w:pPr>
        <w:spacing w:line="550" w:lineRule="exact"/>
        <w:rPr>
          <w:rFonts w:ascii="宋体" w:hAnsi="宋体" w:hint="eastAsia"/>
          <w:bCs/>
          <w:color w:val="auto"/>
          <w:sz w:val="36"/>
          <w:szCs w:val="36"/>
        </w:rPr>
      </w:pPr>
      <w:r>
        <w:rPr>
          <w:rFonts w:ascii="宋体" w:hAnsi="宋体" w:hint="eastAsia"/>
          <w:bCs/>
          <w:color w:val="auto"/>
          <w:sz w:val="36"/>
          <w:szCs w:val="36"/>
        </w:rPr>
        <w:t>四、财政拨款收入支出决算总表</w:t>
      </w:r>
    </w:p>
    <w:p>
      <w:pPr>
        <w:spacing w:line="550" w:lineRule="exact"/>
        <w:rPr>
          <w:rFonts w:ascii="宋体" w:hAnsi="宋体" w:hint="eastAsia"/>
          <w:bCs/>
          <w:color w:val="auto"/>
          <w:sz w:val="36"/>
          <w:szCs w:val="36"/>
        </w:rPr>
      </w:pPr>
      <w:r>
        <w:rPr>
          <w:rFonts w:ascii="宋体" w:hAnsi="宋体" w:hint="eastAsia"/>
          <w:bCs/>
          <w:color w:val="auto"/>
          <w:sz w:val="36"/>
          <w:szCs w:val="36"/>
        </w:rPr>
        <w:t>五、一般公共预算财政拨款支出决算表</w:t>
      </w:r>
    </w:p>
    <w:p>
      <w:pPr>
        <w:spacing w:line="550" w:lineRule="exact"/>
        <w:rPr>
          <w:rFonts w:ascii="宋体" w:hAnsi="宋体" w:hint="eastAsia"/>
          <w:bCs/>
          <w:color w:val="auto"/>
          <w:sz w:val="36"/>
          <w:szCs w:val="36"/>
        </w:rPr>
      </w:pPr>
      <w:r>
        <w:rPr>
          <w:rFonts w:ascii="宋体" w:hAnsi="宋体" w:hint="eastAsia"/>
          <w:bCs/>
          <w:color w:val="auto"/>
          <w:sz w:val="36"/>
          <w:szCs w:val="36"/>
        </w:rPr>
        <w:t>六、一般公共预算财政拨款基本支出决算表</w:t>
      </w:r>
    </w:p>
    <w:p>
      <w:pPr>
        <w:spacing w:line="550" w:lineRule="exact"/>
        <w:rPr>
          <w:rFonts w:ascii="宋体" w:hAnsi="宋体" w:hint="eastAsia"/>
          <w:bCs/>
          <w:color w:val="auto"/>
          <w:sz w:val="36"/>
          <w:szCs w:val="36"/>
        </w:rPr>
      </w:pPr>
      <w:r>
        <w:rPr>
          <w:rFonts w:ascii="宋体" w:hAnsi="宋体" w:hint="eastAsia"/>
          <w:bCs/>
          <w:color w:val="auto"/>
          <w:sz w:val="36"/>
          <w:szCs w:val="36"/>
        </w:rPr>
        <w:t>七、政府性基金预算财政拨款收入支出决算表</w:t>
      </w:r>
    </w:p>
    <w:p>
      <w:pPr>
        <w:spacing w:line="550" w:lineRule="exact"/>
        <w:rPr>
          <w:rFonts w:ascii="宋体" w:hAnsi="宋体" w:hint="eastAsia"/>
          <w:bCs/>
          <w:color w:val="auto"/>
          <w:sz w:val="36"/>
          <w:szCs w:val="36"/>
        </w:rPr>
      </w:pPr>
      <w:r>
        <w:rPr>
          <w:rFonts w:ascii="宋体" w:hAnsi="宋体" w:hint="eastAsia"/>
          <w:bCs/>
          <w:color w:val="auto"/>
          <w:sz w:val="36"/>
          <w:szCs w:val="36"/>
        </w:rPr>
        <w:t>八、国有资本经营预算财政拨款支出决算表</w:t>
      </w:r>
    </w:p>
    <w:p>
      <w:pPr>
        <w:spacing w:line="550" w:lineRule="exact"/>
        <w:rPr>
          <w:rFonts w:ascii="宋体" w:hAnsi="宋体" w:hint="eastAsia"/>
          <w:b/>
          <w:color w:val="auto"/>
          <w:sz w:val="36"/>
          <w:szCs w:val="36"/>
        </w:rPr>
      </w:pPr>
      <w:r>
        <w:rPr>
          <w:rFonts w:ascii="宋体" w:hAnsi="宋体" w:hint="eastAsia"/>
          <w:b/>
          <w:color w:val="auto"/>
          <w:sz w:val="36"/>
          <w:szCs w:val="36"/>
        </w:rPr>
        <w:t xml:space="preserve">第三部分 </w:t>
      </w:r>
      <w:r>
        <w:rPr>
          <w:rFonts w:ascii="宋体" w:hAnsi="宋体" w:hint="eastAsia"/>
          <w:b/>
          <w:color w:val="auto"/>
          <w:sz w:val="36"/>
          <w:szCs w:val="36"/>
          <w:lang w:val="en-US" w:eastAsia="zh-CN"/>
        </w:rPr>
        <w:t>寿县</w:t>
      </w:r>
      <w:r>
        <w:rPr>
          <w:rFonts w:ascii="宋体" w:hAnsi="宋体" w:hint="eastAsia"/>
          <w:b/>
          <w:color w:val="auto"/>
          <w:sz w:val="36"/>
          <w:szCs w:val="36"/>
          <w:lang w:eastAsia="zh-CN"/>
        </w:rPr>
        <w:t>档案馆</w:t>
      </w:r>
      <w:r>
        <w:rPr>
          <w:rFonts w:ascii="宋体" w:hAnsi="宋体" w:hint="eastAsia"/>
          <w:b/>
          <w:color w:val="auto"/>
          <w:sz w:val="36"/>
          <w:szCs w:val="36"/>
        </w:rPr>
        <w:t>2020年度部门决算情况说明</w:t>
      </w:r>
    </w:p>
    <w:p>
      <w:pPr>
        <w:spacing w:line="550" w:lineRule="exact"/>
        <w:rPr>
          <w:rFonts w:ascii="宋体" w:hAnsi="宋体" w:hint="eastAsia"/>
          <w:bCs/>
          <w:color w:val="auto"/>
          <w:sz w:val="36"/>
          <w:szCs w:val="36"/>
        </w:rPr>
      </w:pPr>
      <w:r>
        <w:rPr>
          <w:rFonts w:ascii="宋体" w:hAnsi="宋体" w:hint="eastAsia"/>
          <w:bCs/>
          <w:color w:val="auto"/>
          <w:sz w:val="36"/>
          <w:szCs w:val="36"/>
        </w:rPr>
        <w:t>一、收入支出决算总体情况说明</w:t>
      </w:r>
    </w:p>
    <w:p>
      <w:pPr>
        <w:spacing w:line="550" w:lineRule="exact"/>
        <w:rPr>
          <w:rFonts w:ascii="宋体" w:hAnsi="宋体" w:hint="eastAsia"/>
          <w:bCs/>
          <w:color w:val="auto"/>
          <w:sz w:val="36"/>
          <w:szCs w:val="36"/>
        </w:rPr>
      </w:pPr>
      <w:r>
        <w:rPr>
          <w:rFonts w:ascii="宋体" w:hAnsi="宋体" w:hint="eastAsia"/>
          <w:bCs/>
          <w:color w:val="auto"/>
          <w:sz w:val="36"/>
          <w:szCs w:val="36"/>
        </w:rPr>
        <w:t>二、收入决算情况说明</w:t>
      </w:r>
    </w:p>
    <w:p>
      <w:pPr>
        <w:spacing w:line="550" w:lineRule="exact"/>
        <w:rPr>
          <w:rFonts w:ascii="宋体" w:hAnsi="宋体" w:hint="eastAsia"/>
          <w:bCs/>
          <w:color w:val="auto"/>
          <w:sz w:val="36"/>
          <w:szCs w:val="36"/>
        </w:rPr>
      </w:pPr>
      <w:r>
        <w:rPr>
          <w:rFonts w:ascii="宋体" w:hAnsi="宋体" w:hint="eastAsia"/>
          <w:bCs/>
          <w:color w:val="auto"/>
          <w:sz w:val="36"/>
          <w:szCs w:val="36"/>
        </w:rPr>
        <w:t>三、支出决算情况说明</w:t>
      </w:r>
    </w:p>
    <w:p>
      <w:pPr>
        <w:spacing w:line="550" w:lineRule="exact"/>
        <w:rPr>
          <w:rFonts w:ascii="宋体" w:hAnsi="宋体" w:hint="eastAsia"/>
          <w:bCs/>
          <w:color w:val="auto"/>
          <w:sz w:val="36"/>
          <w:szCs w:val="36"/>
        </w:rPr>
      </w:pPr>
      <w:r>
        <w:rPr>
          <w:rFonts w:ascii="宋体" w:hAnsi="宋体" w:hint="eastAsia"/>
          <w:bCs/>
          <w:color w:val="auto"/>
          <w:sz w:val="36"/>
          <w:szCs w:val="36"/>
        </w:rPr>
        <w:t>四、财政拨款收入支出决算总体情况说明</w:t>
      </w:r>
    </w:p>
    <w:p>
      <w:pPr>
        <w:spacing w:line="550" w:lineRule="exact"/>
        <w:rPr>
          <w:rFonts w:ascii="宋体" w:hAnsi="宋体" w:hint="eastAsia"/>
          <w:bCs/>
          <w:color w:val="auto"/>
          <w:sz w:val="36"/>
          <w:szCs w:val="36"/>
        </w:rPr>
      </w:pPr>
      <w:r>
        <w:rPr>
          <w:rFonts w:ascii="宋体" w:hAnsi="宋体" w:hint="eastAsia"/>
          <w:bCs/>
          <w:color w:val="auto"/>
          <w:sz w:val="36"/>
          <w:szCs w:val="36"/>
        </w:rPr>
        <w:t>五、一般公共预算财政拨款支出决算情况说明</w:t>
      </w:r>
    </w:p>
    <w:p>
      <w:pPr>
        <w:spacing w:line="550" w:lineRule="exact"/>
        <w:rPr>
          <w:rFonts w:ascii="宋体" w:hAnsi="宋体" w:hint="eastAsia"/>
          <w:bCs/>
          <w:color w:val="auto"/>
          <w:sz w:val="36"/>
          <w:szCs w:val="36"/>
        </w:rPr>
      </w:pPr>
      <w:r>
        <w:rPr>
          <w:rFonts w:ascii="宋体" w:hAnsi="宋体" w:hint="eastAsia"/>
          <w:bCs/>
          <w:color w:val="auto"/>
          <w:sz w:val="36"/>
          <w:szCs w:val="36"/>
        </w:rPr>
        <w:t>六、一般公共预算财政拨款基本支出决算情况说明</w:t>
      </w:r>
    </w:p>
    <w:p>
      <w:pPr>
        <w:spacing w:line="550" w:lineRule="exact"/>
        <w:rPr>
          <w:rFonts w:ascii="宋体" w:hAnsi="宋体" w:hint="eastAsia"/>
          <w:bCs/>
          <w:color w:val="auto"/>
          <w:sz w:val="36"/>
          <w:szCs w:val="36"/>
        </w:rPr>
      </w:pPr>
      <w:r>
        <w:rPr>
          <w:rFonts w:ascii="宋体" w:hAnsi="宋体" w:hint="eastAsia"/>
          <w:bCs/>
          <w:color w:val="auto"/>
          <w:sz w:val="36"/>
          <w:szCs w:val="36"/>
        </w:rPr>
        <w:t>七、政府性基金财政拨款收入支出决算情况说明</w:t>
      </w:r>
    </w:p>
    <w:p>
      <w:pPr>
        <w:spacing w:line="550" w:lineRule="exact"/>
        <w:rPr>
          <w:rFonts w:ascii="宋体" w:hAnsi="宋体" w:hint="eastAsia"/>
          <w:bCs/>
          <w:color w:val="auto"/>
          <w:sz w:val="36"/>
          <w:szCs w:val="36"/>
          <w:highlight w:val="none"/>
        </w:rPr>
      </w:pPr>
      <w:r>
        <w:rPr>
          <w:rFonts w:ascii="宋体" w:hAnsi="宋体" w:hint="eastAsia"/>
          <w:bCs/>
          <w:color w:val="auto"/>
          <w:sz w:val="36"/>
          <w:szCs w:val="36"/>
          <w:highlight w:val="none"/>
        </w:rPr>
        <w:t>八、国有资本经营预算财政拨款支出决算情况说明</w:t>
      </w:r>
    </w:p>
    <w:p>
      <w:pPr>
        <w:spacing w:line="550" w:lineRule="exact"/>
        <w:rPr>
          <w:rFonts w:ascii="宋体" w:hAnsi="宋体" w:hint="eastAsia"/>
          <w:bCs/>
          <w:color w:val="auto"/>
          <w:sz w:val="36"/>
          <w:szCs w:val="36"/>
        </w:rPr>
      </w:pPr>
      <w:r>
        <w:rPr>
          <w:rFonts w:ascii="宋体" w:hAnsi="宋体" w:hint="eastAsia"/>
          <w:bCs/>
          <w:color w:val="auto"/>
          <w:sz w:val="36"/>
          <w:szCs w:val="36"/>
          <w:highlight w:val="none"/>
        </w:rPr>
        <w:t>九、</w:t>
      </w:r>
      <w:r>
        <w:rPr>
          <w:rFonts w:ascii="宋体" w:hAnsi="宋体" w:hint="eastAsia"/>
          <w:bCs/>
          <w:color w:val="auto"/>
          <w:sz w:val="36"/>
          <w:szCs w:val="36"/>
        </w:rPr>
        <w:t>其他重要事项情况说明</w:t>
      </w:r>
    </w:p>
    <w:p>
      <w:pPr>
        <w:spacing w:line="550" w:lineRule="exact"/>
        <w:rPr>
          <w:rFonts w:ascii="宋体" w:hAnsi="宋体" w:hint="eastAsia"/>
          <w:b/>
          <w:color w:val="auto"/>
          <w:sz w:val="36"/>
          <w:szCs w:val="36"/>
        </w:rPr>
      </w:pPr>
      <w:r>
        <w:rPr>
          <w:rFonts w:ascii="宋体" w:hAnsi="宋体" w:hint="eastAsia"/>
          <w:b/>
          <w:color w:val="auto"/>
          <w:sz w:val="36"/>
          <w:szCs w:val="36"/>
        </w:rPr>
        <w:t>第四部分 名词解释</w:t>
      </w:r>
    </w:p>
    <w:p>
      <w:pPr>
        <w:rPr>
          <w:rFonts w:ascii="宋体" w:hAnsi="宋体" w:hint="eastAsia"/>
          <w:color w:val="auto"/>
          <w:sz w:val="28"/>
          <w:szCs w:val="28"/>
        </w:rPr>
      </w:pPr>
    </w:p>
    <w:p>
      <w:pPr>
        <w:jc w:val="center"/>
        <w:rPr>
          <w:rFonts w:ascii="仿宋" w:eastAsia="仿宋" w:hAnsi="仿宋" w:cs="仿宋" w:hint="eastAsia"/>
          <w:b/>
          <w:color w:val="auto"/>
          <w:sz w:val="36"/>
          <w:szCs w:val="36"/>
        </w:rPr>
      </w:pPr>
      <w:r>
        <w:rPr>
          <w:rFonts w:ascii="仿宋" w:eastAsia="仿宋" w:hAnsi="仿宋" w:cs="仿宋" w:hint="eastAsia"/>
          <w:b/>
          <w:color w:val="auto"/>
          <w:sz w:val="36"/>
          <w:szCs w:val="36"/>
          <w:lang w:eastAsia="zh-CN"/>
        </w:rPr>
        <w:t>寿县</w:t>
      </w:r>
      <w:r>
        <w:rPr>
          <w:rFonts w:ascii="仿宋" w:eastAsia="仿宋" w:hAnsi="仿宋" w:cs="仿宋" w:hint="eastAsia"/>
          <w:b/>
          <w:color w:val="auto"/>
          <w:sz w:val="36"/>
          <w:szCs w:val="36"/>
          <w:lang w:val="en-US" w:eastAsia="zh-CN"/>
        </w:rPr>
        <w:t>档案馆2020</w:t>
      </w:r>
      <w:r>
        <w:rPr>
          <w:rFonts w:ascii="仿宋" w:eastAsia="仿宋" w:hAnsi="仿宋" w:cs="仿宋" w:hint="eastAsia"/>
          <w:b/>
          <w:color w:val="auto"/>
          <w:sz w:val="36"/>
          <w:szCs w:val="36"/>
        </w:rPr>
        <w:t>年</w:t>
      </w:r>
      <w:r>
        <w:rPr>
          <w:rFonts w:ascii="仿宋" w:eastAsia="仿宋" w:hAnsi="仿宋" w:cs="仿宋" w:hint="eastAsia"/>
          <w:b/>
          <w:color w:val="auto"/>
          <w:sz w:val="36"/>
          <w:szCs w:val="36"/>
          <w:lang w:val="en-US" w:eastAsia="zh-CN"/>
        </w:rPr>
        <w:t>度</w:t>
      </w:r>
      <w:r>
        <w:rPr>
          <w:rFonts w:ascii="仿宋" w:eastAsia="仿宋" w:hAnsi="仿宋" w:cs="仿宋" w:hint="eastAsia"/>
          <w:b/>
          <w:color w:val="auto"/>
          <w:sz w:val="36"/>
          <w:szCs w:val="36"/>
        </w:rPr>
        <w:t>部门决算情况</w:t>
      </w:r>
    </w:p>
    <w:p>
      <w:pPr>
        <w:ind w:firstLine="640" w:firstLineChars="200"/>
        <w:rPr>
          <w:rFonts w:ascii="黑体" w:eastAsia="黑体" w:hAnsi="黑体" w:hint="eastAsia"/>
          <w:color w:val="auto"/>
          <w:sz w:val="32"/>
          <w:szCs w:val="32"/>
        </w:rPr>
      </w:pPr>
    </w:p>
    <w:p>
      <w:pPr>
        <w:ind w:firstLine="640" w:firstLineChars="200"/>
        <w:rPr>
          <w:rFonts w:ascii="黑体" w:eastAsia="黑体" w:hAnsi="黑体" w:hint="eastAsia"/>
          <w:color w:val="auto"/>
          <w:sz w:val="32"/>
          <w:szCs w:val="32"/>
        </w:rPr>
      </w:pPr>
      <w:r>
        <w:rPr>
          <w:rFonts w:ascii="黑体" w:eastAsia="黑体" w:hAnsi="黑体" w:hint="eastAsia"/>
          <w:color w:val="auto"/>
          <w:sz w:val="32"/>
          <w:szCs w:val="32"/>
        </w:rPr>
        <w:t xml:space="preserve">第一部分 </w:t>
      </w:r>
      <w:r>
        <w:rPr>
          <w:rFonts w:ascii="黑体" w:eastAsia="黑体" w:hAnsi="黑体" w:hint="eastAsia"/>
          <w:color w:val="auto"/>
          <w:sz w:val="32"/>
          <w:szCs w:val="32"/>
          <w:lang w:val="en-US" w:eastAsia="zh-CN"/>
        </w:rPr>
        <w:t>寿县</w:t>
      </w:r>
      <w:r>
        <w:rPr>
          <w:rFonts w:ascii="黑体" w:eastAsia="黑体" w:hAnsi="黑体" w:hint="eastAsia"/>
          <w:color w:val="auto"/>
          <w:sz w:val="32"/>
          <w:szCs w:val="32"/>
          <w:lang w:eastAsia="zh-CN"/>
        </w:rPr>
        <w:t>档案馆</w:t>
      </w:r>
      <w:r>
        <w:rPr>
          <w:rFonts w:ascii="黑体" w:eastAsia="黑体" w:hAnsi="黑体" w:hint="eastAsia"/>
          <w:color w:val="auto"/>
          <w:sz w:val="32"/>
          <w:szCs w:val="32"/>
        </w:rPr>
        <w:t>概况</w:t>
      </w:r>
    </w:p>
    <w:p>
      <w:pPr>
        <w:ind w:firstLine="640" w:firstLineChars="200"/>
        <w:rPr>
          <w:rFonts w:ascii="黑体" w:eastAsia="黑体" w:hAnsi="黑体" w:hint="eastAsia"/>
          <w:color w:val="auto"/>
          <w:sz w:val="32"/>
          <w:szCs w:val="32"/>
        </w:rPr>
      </w:pPr>
      <w:r>
        <w:rPr>
          <w:rFonts w:ascii="黑体" w:eastAsia="黑体" w:hAnsi="黑体" w:hint="eastAsia"/>
          <w:color w:val="auto"/>
          <w:sz w:val="32"/>
          <w:szCs w:val="32"/>
        </w:rPr>
        <w:t>一、部门职责</w:t>
      </w:r>
    </w:p>
    <w:p>
      <w:pPr>
        <w:keepNext w:val="0"/>
        <w:keepLines w:val="0"/>
        <w:pageBreakBefore w:val="0"/>
        <w:kinsoku/>
        <w:wordWrap/>
        <w:overflowPunct/>
        <w:topLinePunct w:val="0"/>
        <w:autoSpaceDE/>
        <w:autoSpaceDN/>
        <w:bidi w:val="0"/>
        <w:spacing w:line="360" w:lineRule="auto"/>
        <w:ind w:firstLine="640" w:firstLineChars="200"/>
        <w:jc w:val="left"/>
        <w:textAlignment w:val="auto"/>
        <w:rPr>
          <w:rFonts w:ascii="仿宋" w:eastAsia="仿宋" w:hAnsi="仿宋" w:cs="宋体" w:hint="eastAsia"/>
          <w:color w:val="auto"/>
          <w:kern w:val="0"/>
          <w:sz w:val="32"/>
          <w:szCs w:val="32"/>
          <w:lang w:val="en-US" w:eastAsia="zh-CN" w:bidi="ar-SA"/>
        </w:rPr>
      </w:pPr>
      <w:r>
        <w:rPr>
          <w:rFonts w:ascii="仿宋" w:eastAsia="仿宋" w:hAnsi="仿宋" w:cs="宋体" w:hint="eastAsia"/>
          <w:color w:val="auto"/>
          <w:kern w:val="0"/>
          <w:sz w:val="32"/>
          <w:szCs w:val="32"/>
          <w:lang w:val="en-US" w:eastAsia="zh-CN" w:bidi="ar-SA"/>
        </w:rPr>
        <w:t>县档案馆（中共寿县县委党史和地方志研究室）的主要职责是：</w:t>
      </w:r>
    </w:p>
    <w:p>
      <w:pPr>
        <w:keepNext w:val="0"/>
        <w:keepLines w:val="0"/>
        <w:pageBreakBefore w:val="0"/>
        <w:kinsoku/>
        <w:wordWrap/>
        <w:overflowPunct/>
        <w:topLinePunct w:val="0"/>
        <w:autoSpaceDE/>
        <w:autoSpaceDN/>
        <w:bidi w:val="0"/>
        <w:spacing w:line="360" w:lineRule="auto"/>
        <w:ind w:firstLine="640" w:firstLineChars="200"/>
        <w:jc w:val="left"/>
        <w:textAlignment w:val="auto"/>
        <w:rPr>
          <w:rFonts w:ascii="仿宋" w:eastAsia="仿宋" w:hAnsi="仿宋" w:cs="宋体" w:hint="eastAsia"/>
          <w:color w:val="auto"/>
          <w:kern w:val="0"/>
          <w:sz w:val="32"/>
          <w:szCs w:val="32"/>
          <w:lang w:val="en-US" w:eastAsia="zh-CN" w:bidi="ar-SA"/>
        </w:rPr>
      </w:pPr>
      <w:r>
        <w:rPr>
          <w:rFonts w:ascii="仿宋" w:eastAsia="仿宋" w:hAnsi="仿宋" w:cs="宋体" w:hint="eastAsia"/>
          <w:color w:val="auto"/>
          <w:kern w:val="0"/>
          <w:sz w:val="32"/>
          <w:szCs w:val="32"/>
          <w:lang w:val="en-US" w:eastAsia="zh-CN" w:bidi="ar-SA"/>
        </w:rPr>
        <w:t>（一）贯彻执行国家、省、市和县档案工作法律法规、规章和政策。</w:t>
      </w:r>
    </w:p>
    <w:p>
      <w:pPr>
        <w:keepNext w:val="0"/>
        <w:keepLines w:val="0"/>
        <w:pageBreakBefore w:val="0"/>
        <w:kinsoku/>
        <w:wordWrap/>
        <w:overflowPunct/>
        <w:topLinePunct w:val="0"/>
        <w:autoSpaceDE/>
        <w:autoSpaceDN/>
        <w:bidi w:val="0"/>
        <w:spacing w:line="360" w:lineRule="auto"/>
        <w:ind w:firstLine="640" w:firstLineChars="200"/>
        <w:jc w:val="left"/>
        <w:textAlignment w:val="auto"/>
        <w:rPr>
          <w:rFonts w:ascii="仿宋" w:eastAsia="仿宋" w:hAnsi="仿宋" w:cs="宋体" w:hint="eastAsia"/>
          <w:color w:val="auto"/>
          <w:kern w:val="0"/>
          <w:sz w:val="32"/>
          <w:szCs w:val="32"/>
          <w:lang w:val="en-US" w:eastAsia="zh-CN" w:bidi="ar-SA"/>
        </w:rPr>
      </w:pPr>
      <w:r>
        <w:rPr>
          <w:rFonts w:ascii="仿宋" w:eastAsia="仿宋" w:hAnsi="仿宋" w:cs="宋体" w:hint="eastAsia"/>
          <w:color w:val="auto"/>
          <w:kern w:val="0"/>
          <w:sz w:val="32"/>
          <w:szCs w:val="32"/>
          <w:lang w:val="en-US" w:eastAsia="zh-CN" w:bidi="ar-SA"/>
        </w:rPr>
        <w:t>（二）接收县直各单位和其他组织按规定移交进馆的档案资料，征集散存在社会上的珍贵档案资料。</w:t>
      </w:r>
    </w:p>
    <w:p>
      <w:pPr>
        <w:keepNext w:val="0"/>
        <w:keepLines w:val="0"/>
        <w:pageBreakBefore w:val="0"/>
        <w:kinsoku/>
        <w:wordWrap/>
        <w:overflowPunct/>
        <w:topLinePunct w:val="0"/>
        <w:autoSpaceDE/>
        <w:autoSpaceDN/>
        <w:bidi w:val="0"/>
        <w:spacing w:line="360" w:lineRule="auto"/>
        <w:ind w:firstLine="640" w:firstLineChars="200"/>
        <w:jc w:val="left"/>
        <w:textAlignment w:val="auto"/>
        <w:rPr>
          <w:rFonts w:ascii="仿宋" w:eastAsia="仿宋" w:hAnsi="仿宋" w:cs="宋体" w:hint="eastAsia"/>
          <w:color w:val="auto"/>
          <w:kern w:val="0"/>
          <w:sz w:val="32"/>
          <w:szCs w:val="32"/>
          <w:lang w:val="en-US" w:eastAsia="zh-CN" w:bidi="ar-SA"/>
        </w:rPr>
      </w:pPr>
      <w:r>
        <w:rPr>
          <w:rFonts w:ascii="仿宋" w:eastAsia="仿宋" w:hAnsi="仿宋" w:cs="宋体" w:hint="eastAsia"/>
          <w:color w:val="auto"/>
          <w:kern w:val="0"/>
          <w:sz w:val="32"/>
          <w:szCs w:val="32"/>
          <w:lang w:val="en-US" w:eastAsia="zh-CN" w:bidi="ar-SA"/>
        </w:rPr>
        <w:t>（三）保管档案，维护档案的完整与安全。</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color w:val="auto"/>
          <w:kern w:val="0"/>
          <w:sz w:val="32"/>
          <w:szCs w:val="32"/>
          <w:lang w:val="en-US" w:eastAsia="zh-CN" w:bidi="ar-SA"/>
        </w:rPr>
      </w:pPr>
      <w:r>
        <w:rPr>
          <w:rFonts w:ascii="仿宋" w:eastAsia="仿宋" w:hAnsi="仿宋" w:cs="宋体" w:hint="eastAsia"/>
          <w:color w:val="auto"/>
          <w:kern w:val="0"/>
          <w:sz w:val="32"/>
          <w:szCs w:val="32"/>
          <w:lang w:val="en-US" w:eastAsia="zh-CN" w:bidi="ar-SA"/>
        </w:rPr>
        <w:t>（四）对馆藏档案进行科学整理、编目、鉴定、数字化、技术保护及开发利用。</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color w:val="auto"/>
          <w:kern w:val="0"/>
          <w:sz w:val="32"/>
          <w:szCs w:val="32"/>
          <w:lang w:val="en-US" w:eastAsia="zh-CN" w:bidi="ar-SA"/>
        </w:rPr>
      </w:pPr>
      <w:r>
        <w:rPr>
          <w:rFonts w:ascii="仿宋" w:eastAsia="仿宋" w:hAnsi="仿宋" w:cs="宋体" w:hint="eastAsia"/>
          <w:color w:val="auto"/>
          <w:kern w:val="0"/>
          <w:sz w:val="32"/>
          <w:szCs w:val="32"/>
          <w:lang w:val="en-US" w:eastAsia="zh-CN" w:bidi="ar-SA"/>
        </w:rPr>
        <w:t>（五）承担全县档案专业技术资格评审的事务性工作。</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color w:val="auto"/>
          <w:kern w:val="0"/>
          <w:sz w:val="32"/>
          <w:szCs w:val="32"/>
          <w:lang w:val="en-US" w:eastAsia="zh-CN" w:bidi="ar-SA"/>
        </w:rPr>
      </w:pPr>
      <w:r>
        <w:rPr>
          <w:rFonts w:ascii="仿宋" w:eastAsia="仿宋" w:hAnsi="仿宋" w:cs="宋体" w:hint="eastAsia"/>
          <w:color w:val="auto"/>
          <w:kern w:val="0"/>
          <w:sz w:val="32"/>
          <w:szCs w:val="32"/>
          <w:lang w:val="en-US" w:eastAsia="zh-CN" w:bidi="ar-SA"/>
        </w:rPr>
        <w:t>（六）贯彻落实党中央、国务院和省委、省政府及市委、市政府和县委、县政府有关党史、地方志工作的方针、政策和法规，制定全县党史、地方志工作规划、计划。</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color w:val="auto"/>
          <w:kern w:val="0"/>
          <w:sz w:val="32"/>
          <w:szCs w:val="32"/>
          <w:lang w:val="en-US" w:eastAsia="zh-CN" w:bidi="ar-SA"/>
        </w:rPr>
        <w:t>（七）研究中国共产党寿县历史、寿县</w:t>
      </w:r>
      <w:r>
        <w:rPr>
          <w:rFonts w:ascii="仿宋" w:eastAsia="仿宋" w:hAnsi="仿宋" w:cs="宋体" w:hint="eastAsia"/>
          <w:kern w:val="0"/>
          <w:sz w:val="32"/>
          <w:szCs w:val="32"/>
          <w:lang w:val="en-US" w:eastAsia="zh-CN" w:bidi="ar-SA"/>
        </w:rPr>
        <w:t>地方志，总结党的历史经验，开展党的历史、党的优良传统和寿县优秀传统文化的宣传教育，开展宣传读志用鉴工作，发挥党史、地方志资政育人作用，为新时代党的建设和县委、县政府决策服务，为教育广大党员、干部、群众和青少年服务。</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kern w:val="0"/>
          <w:sz w:val="32"/>
          <w:szCs w:val="32"/>
          <w:lang w:val="en-US" w:eastAsia="zh-CN" w:bidi="ar-SA"/>
        </w:rPr>
        <w:t>（八）记载、总结、研究习近平新时代中国特色社会主义思想在寿县的实践，跟踪研究县委新时代坚持和发展中国特色社会主义，统筹推进“五位一体”总体布局和协调推进“四个全面”战略布局的实践进程。</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kern w:val="0"/>
          <w:sz w:val="32"/>
          <w:szCs w:val="32"/>
          <w:lang w:val="en-US" w:eastAsia="zh-CN" w:bidi="ar-SA"/>
        </w:rPr>
        <w:t>（九）编辑研究寿县党史和文献资料，组织编写出版寿县党史基本著作，编纂出版编年史、专门史、党史大事记、党史资料专题、党史人物传记等党史书籍。</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kern w:val="0"/>
          <w:sz w:val="32"/>
          <w:szCs w:val="32"/>
          <w:lang w:val="en-US" w:eastAsia="zh-CN" w:bidi="ar-SA"/>
        </w:rPr>
        <w:t>（十）组织编纂寿县志书、地方综合年鉴，编纂出版《寿县年鉴》，组织整理旧志。</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kern w:val="0"/>
          <w:sz w:val="32"/>
          <w:szCs w:val="32"/>
          <w:lang w:val="en-US" w:eastAsia="zh-CN" w:bidi="ar-SA"/>
        </w:rPr>
        <w:t>（十一）征集、整理、保管和利用寿县党史、地方志文献资料，收集、整理重要口述史资料、重要人物回忆录。</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kern w:val="0"/>
          <w:sz w:val="32"/>
          <w:szCs w:val="32"/>
          <w:lang w:val="en-US" w:eastAsia="zh-CN" w:bidi="ar-SA"/>
        </w:rPr>
        <w:t>（十二）审核涉及寿县党史、地方志的重要文稿、档案、书稿、照片等，参与审核涉及我县重大革命题材的影视作品、展览、新建纪念场馆的立项和内容等，协助审核我县重大党史事件、重要党史人物的纪念活动方案并承办、协办相关活动。</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kern w:val="0"/>
          <w:sz w:val="32"/>
          <w:szCs w:val="32"/>
          <w:lang w:val="en-US" w:eastAsia="zh-CN" w:bidi="ar-SA"/>
        </w:rPr>
        <w:t>（十三）开展党史、地方志理论研究，组织党史、地方志学术研讨活动，开展与县外党史、地方志部门的协作交流。</w:t>
      </w:r>
    </w:p>
    <w:p>
      <w:pPr>
        <w:keepNext w:val="0"/>
        <w:keepLines w:val="0"/>
        <w:pageBreakBefore w:val="0"/>
        <w:kinsoku/>
        <w:wordWrap/>
        <w:overflowPunct/>
        <w:topLinePunct w:val="0"/>
        <w:autoSpaceDE/>
        <w:autoSpaceDN/>
        <w:bidi w:val="0"/>
        <w:spacing w:line="360" w:lineRule="auto"/>
        <w:ind w:firstLine="640" w:firstLineChars="200"/>
        <w:textAlignment w:val="auto"/>
        <w:rPr>
          <w:rFonts w:ascii="仿宋" w:eastAsia="仿宋" w:hAnsi="仿宋" w:cs="宋体" w:hint="eastAsia"/>
          <w:kern w:val="0"/>
          <w:sz w:val="32"/>
          <w:szCs w:val="32"/>
          <w:lang w:val="en-US" w:eastAsia="zh-CN" w:bidi="ar-SA"/>
        </w:rPr>
      </w:pPr>
      <w:r>
        <w:rPr>
          <w:rFonts w:ascii="仿宋" w:eastAsia="仿宋" w:hAnsi="仿宋" w:cs="宋体" w:hint="eastAsia"/>
          <w:kern w:val="0"/>
          <w:sz w:val="32"/>
          <w:szCs w:val="32"/>
          <w:lang w:val="en-US" w:eastAsia="zh-CN" w:bidi="ar-SA"/>
        </w:rPr>
        <w:t>（十四）指导全县党史、地方志工作。对各类志书的编纂进行指导，并负责审定志稿、审批出版。</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360" w:lineRule="auto"/>
        <w:ind w:firstLine="784" w:firstLineChars="245"/>
        <w:jc w:val="both"/>
        <w:textAlignment w:val="auto"/>
        <w:rPr>
          <w:rFonts w:ascii="黑体" w:eastAsia="黑体" w:hAnsi="黑体" w:hint="eastAsia"/>
          <w:sz w:val="32"/>
          <w:szCs w:val="32"/>
        </w:rPr>
      </w:pPr>
      <w:r>
        <w:rPr>
          <w:rFonts w:ascii="仿宋" w:eastAsia="仿宋" w:hAnsi="仿宋" w:cs="宋体" w:hint="eastAsia"/>
          <w:kern w:val="0"/>
          <w:sz w:val="32"/>
          <w:szCs w:val="32"/>
          <w:lang w:val="en-US" w:eastAsia="zh-CN" w:bidi="ar-SA"/>
        </w:rPr>
        <w:t>（十五）完成县委交办的其他任务。</w:t>
      </w:r>
    </w:p>
    <w:p>
      <w:pPr>
        <w:ind w:firstLine="640" w:firstLineChars="200"/>
        <w:rPr>
          <w:rFonts w:ascii="黑体" w:eastAsia="黑体" w:hAnsi="黑体" w:hint="eastAsia"/>
          <w:sz w:val="32"/>
          <w:szCs w:val="32"/>
        </w:rPr>
      </w:pPr>
    </w:p>
    <w:p>
      <w:pPr>
        <w:ind w:firstLine="640" w:firstLineChars="200"/>
        <w:rPr>
          <w:rFonts w:ascii="黑体" w:eastAsia="黑体" w:hAnsi="黑体" w:hint="eastAsia"/>
          <w:sz w:val="32"/>
          <w:szCs w:val="32"/>
        </w:rPr>
      </w:pPr>
      <w:r>
        <w:rPr>
          <w:rFonts w:ascii="黑体" w:eastAsia="黑体" w:hAnsi="黑体" w:hint="eastAsia"/>
          <w:sz w:val="32"/>
          <w:szCs w:val="32"/>
        </w:rPr>
        <w:t>二、机构设置</w:t>
      </w:r>
    </w:p>
    <w:p>
      <w:pPr>
        <w:ind w:firstLine="640" w:firstLineChars="200"/>
        <w:rPr>
          <w:rFonts w:ascii="仿宋" w:eastAsia="仿宋" w:hAnsi="仿宋" w:cs="仿宋" w:hint="eastAsia"/>
          <w:sz w:val="32"/>
          <w:szCs w:val="32"/>
        </w:rPr>
      </w:pPr>
      <w:r>
        <w:rPr>
          <w:rFonts w:ascii="仿宋" w:eastAsia="仿宋" w:hAnsi="仿宋" w:cs="仿宋" w:hint="eastAsia"/>
          <w:sz w:val="32"/>
          <w:szCs w:val="32"/>
        </w:rPr>
        <w:t>从决算单位构成看，</w:t>
      </w:r>
      <w:r>
        <w:rPr>
          <w:rFonts w:ascii="仿宋" w:eastAsia="仿宋" w:hAnsi="仿宋" w:cs="仿宋" w:hint="eastAsia"/>
          <w:sz w:val="32"/>
          <w:szCs w:val="32"/>
          <w:lang w:val="en-US" w:eastAsia="zh-CN"/>
        </w:rPr>
        <w:t>寿县</w:t>
      </w:r>
      <w:r>
        <w:rPr>
          <w:rFonts w:ascii="仿宋" w:eastAsia="仿宋" w:hAnsi="仿宋" w:cs="仿宋" w:hint="eastAsia"/>
          <w:sz w:val="32"/>
          <w:szCs w:val="32"/>
          <w:lang w:eastAsia="zh-CN"/>
        </w:rPr>
        <w:t>档案馆20</w:t>
      </w:r>
      <w:r>
        <w:rPr>
          <w:rFonts w:ascii="仿宋" w:eastAsia="仿宋" w:hAnsi="仿宋" w:cs="仿宋" w:hint="eastAsia"/>
          <w:sz w:val="32"/>
          <w:szCs w:val="32"/>
          <w:lang w:val="en-US" w:eastAsia="zh-CN"/>
        </w:rPr>
        <w:t>20</w:t>
      </w:r>
      <w:r>
        <w:rPr>
          <w:rFonts w:ascii="仿宋" w:eastAsia="仿宋" w:hAnsi="仿宋" w:cs="仿宋" w:hint="eastAsia"/>
          <w:sz w:val="32"/>
          <w:szCs w:val="32"/>
        </w:rPr>
        <w:t>年度部门决算包括：</w:t>
      </w:r>
      <w:r>
        <w:rPr>
          <w:rFonts w:ascii="仿宋" w:eastAsia="仿宋" w:hAnsi="仿宋" w:cs="仿宋" w:hint="eastAsia"/>
          <w:sz w:val="32"/>
          <w:szCs w:val="32"/>
          <w:lang w:eastAsia="zh-CN"/>
        </w:rPr>
        <w:t>馆</w:t>
      </w:r>
      <w:r>
        <w:rPr>
          <w:rFonts w:ascii="仿宋" w:eastAsia="仿宋" w:hAnsi="仿宋" w:cs="仿宋" w:hint="eastAsia"/>
          <w:sz w:val="32"/>
          <w:szCs w:val="32"/>
        </w:rPr>
        <w:t>本级决算，与预算比较</w:t>
      </w:r>
      <w:r>
        <w:rPr>
          <w:rFonts w:ascii="仿宋" w:eastAsia="仿宋" w:hAnsi="仿宋" w:cs="仿宋" w:hint="eastAsia"/>
          <w:sz w:val="32"/>
          <w:szCs w:val="32"/>
          <w:lang w:eastAsia="zh-CN"/>
        </w:rPr>
        <w:t>一致</w:t>
      </w:r>
      <w:r>
        <w:rPr>
          <w:rFonts w:ascii="仿宋" w:eastAsia="仿宋" w:hAnsi="仿宋" w:cs="仿宋" w:hint="eastAsia"/>
          <w:sz w:val="32"/>
          <w:szCs w:val="32"/>
        </w:rPr>
        <w:t>。</w:t>
      </w:r>
    </w:p>
    <w:p>
      <w:pPr>
        <w:ind w:firstLine="640" w:firstLineChars="200"/>
        <w:rPr>
          <w:rFonts w:ascii="仿宋" w:eastAsia="仿宋" w:hAnsi="仿宋" w:cs="仿宋" w:hint="eastAsia"/>
          <w:sz w:val="32"/>
          <w:szCs w:val="32"/>
        </w:rPr>
      </w:pPr>
      <w:r>
        <w:rPr>
          <w:rFonts w:ascii="仿宋" w:eastAsia="仿宋" w:hAnsi="仿宋" w:cs="仿宋" w:hint="eastAsia"/>
          <w:sz w:val="32"/>
          <w:szCs w:val="32"/>
        </w:rPr>
        <w:t>纳入</w:t>
      </w:r>
      <w:r>
        <w:rPr>
          <w:rFonts w:ascii="仿宋" w:eastAsia="仿宋" w:hAnsi="仿宋" w:cs="仿宋" w:hint="eastAsia"/>
          <w:sz w:val="32"/>
          <w:szCs w:val="32"/>
          <w:lang w:val="en-US" w:eastAsia="zh-CN"/>
        </w:rPr>
        <w:t>寿县</w:t>
      </w:r>
      <w:r>
        <w:rPr>
          <w:rFonts w:ascii="仿宋" w:eastAsia="仿宋" w:hAnsi="仿宋" w:cs="仿宋" w:hint="eastAsia"/>
          <w:sz w:val="32"/>
          <w:szCs w:val="32"/>
          <w:lang w:eastAsia="zh-CN"/>
        </w:rPr>
        <w:t>档案馆20</w:t>
      </w:r>
      <w:r>
        <w:rPr>
          <w:rFonts w:ascii="仿宋" w:eastAsia="仿宋" w:hAnsi="仿宋" w:cs="仿宋" w:hint="eastAsia"/>
          <w:sz w:val="32"/>
          <w:szCs w:val="32"/>
          <w:lang w:val="en-US" w:eastAsia="zh-CN"/>
        </w:rPr>
        <w:t>20</w:t>
      </w:r>
      <w:r>
        <w:rPr>
          <w:rFonts w:ascii="仿宋" w:eastAsia="仿宋" w:hAnsi="仿宋" w:cs="仿宋" w:hint="eastAsia"/>
          <w:sz w:val="32"/>
          <w:szCs w:val="32"/>
        </w:rPr>
        <w:t>年度部门决算编制范围的二级单位共</w:t>
      </w:r>
      <w:r>
        <w:rPr>
          <w:rFonts w:ascii="仿宋" w:eastAsia="仿宋" w:hAnsi="仿宋" w:cs="仿宋" w:hint="eastAsia"/>
          <w:sz w:val="32"/>
          <w:szCs w:val="32"/>
          <w:lang w:val="en-US" w:eastAsia="zh-CN"/>
        </w:rPr>
        <w:t>1</w:t>
      </w:r>
      <w:r>
        <w:rPr>
          <w:rFonts w:ascii="仿宋" w:eastAsia="仿宋" w:hAnsi="仿宋" w:cs="仿宋" w:hint="eastAsia"/>
          <w:sz w:val="32"/>
          <w:szCs w:val="32"/>
        </w:rPr>
        <w:t>个，详细情况见下表：</w:t>
      </w:r>
    </w:p>
    <w:tbl>
      <w:tblPr>
        <w:tblStyle w:val="TableNormal"/>
        <w:tblW w:w="0" w:type="auto"/>
        <w:tblInd w:w="828" w:type="dxa"/>
        <w:shd w:val="clear" w:color="auto" w:fill="FFFFFF"/>
        <w:tblLayout w:type="fixed"/>
        <w:tblCellMar>
          <w:top w:w="0" w:type="dxa"/>
          <w:left w:w="0" w:type="dxa"/>
          <w:bottom w:w="0" w:type="dxa"/>
          <w:right w:w="0" w:type="dxa"/>
        </w:tblCellMar>
      </w:tblPr>
      <w:tblGrid>
        <w:gridCol w:w="1389"/>
        <w:gridCol w:w="5837"/>
      </w:tblGrid>
      <w:tr>
        <w:tblPrEx>
          <w:tblW w:w="0" w:type="auto"/>
          <w:tblInd w:w="828" w:type="dxa"/>
          <w:shd w:val="clear" w:color="auto" w:fill="FFFFFF"/>
          <w:tblLayout w:type="fixed"/>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noWrap w:val="0"/>
            <w:tcMar>
              <w:top w:w="0" w:type="dxa"/>
              <w:left w:w="108" w:type="dxa"/>
              <w:bottom w:w="0" w:type="dxa"/>
              <w:right w:w="108" w:type="dxa"/>
            </w:tcMar>
            <w:vAlign w:val="center"/>
          </w:tcPr>
          <w:p>
            <w:pPr>
              <w:jc w:val="center"/>
              <w:rPr>
                <w:rFonts w:ascii="仿宋" w:eastAsia="仿宋" w:hAnsi="仿宋" w:cs="仿宋" w:hint="eastAsia"/>
                <w:sz w:val="24"/>
              </w:rPr>
            </w:pPr>
            <w:r>
              <w:rPr>
                <w:rFonts w:ascii="仿宋" w:eastAsia="仿宋" w:hAnsi="仿宋" w:cs="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noWrap w:val="0"/>
            <w:tcMar>
              <w:top w:w="0" w:type="dxa"/>
              <w:left w:w="108" w:type="dxa"/>
              <w:bottom w:w="0" w:type="dxa"/>
              <w:right w:w="108" w:type="dxa"/>
            </w:tcMar>
            <w:vAlign w:val="center"/>
          </w:tcPr>
          <w:p>
            <w:pPr>
              <w:jc w:val="center"/>
              <w:rPr>
                <w:rFonts w:ascii="仿宋" w:eastAsia="仿宋" w:hAnsi="仿宋" w:cs="仿宋" w:hint="eastAsia"/>
                <w:sz w:val="24"/>
              </w:rPr>
            </w:pPr>
            <w:r>
              <w:rPr>
                <w:rFonts w:ascii="仿宋" w:eastAsia="仿宋" w:hAnsi="仿宋" w:cs="仿宋" w:hint="eastAsia"/>
                <w:sz w:val="24"/>
              </w:rPr>
              <w:t>单位名称</w:t>
            </w:r>
          </w:p>
        </w:tc>
      </w:tr>
      <w:tr>
        <w:tblPrEx>
          <w:tblW w:w="0" w:type="auto"/>
          <w:tblInd w:w="828" w:type="dxa"/>
          <w:shd w:val="clear" w:color="auto" w:fill="FFFFFF"/>
          <w:tblLayout w:type="fixed"/>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noWrap w:val="0"/>
            <w:tcMar>
              <w:top w:w="0" w:type="dxa"/>
              <w:left w:w="108" w:type="dxa"/>
              <w:bottom w:w="0" w:type="dxa"/>
              <w:right w:w="108" w:type="dxa"/>
            </w:tcMar>
            <w:vAlign w:val="center"/>
          </w:tcPr>
          <w:p>
            <w:pPr>
              <w:jc w:val="center"/>
              <w:rPr>
                <w:rFonts w:ascii="仿宋" w:eastAsia="仿宋" w:hAnsi="仿宋" w:cs="仿宋" w:hint="eastAsia"/>
                <w:sz w:val="24"/>
              </w:rPr>
            </w:pPr>
            <w:r>
              <w:rPr>
                <w:rFonts w:ascii="仿宋" w:eastAsia="仿宋" w:hAnsi="仿宋" w:cs="仿宋" w:hint="eastAsia"/>
                <w:sz w:val="24"/>
              </w:rPr>
              <w:t>1</w:t>
            </w:r>
          </w:p>
        </w:tc>
        <w:tc>
          <w:tcPr>
            <w:tcW w:w="5837" w:type="dxa"/>
            <w:tcBorders>
              <w:top w:val="nil"/>
              <w:left w:val="nil"/>
              <w:bottom w:val="single" w:sz="8" w:space="0" w:color="auto"/>
              <w:right w:val="single" w:sz="8" w:space="0" w:color="auto"/>
            </w:tcBorders>
            <w:shd w:val="clear" w:color="auto" w:fill="FFFFFF"/>
            <w:noWrap w:val="0"/>
            <w:tcMar>
              <w:top w:w="0" w:type="dxa"/>
              <w:left w:w="108" w:type="dxa"/>
              <w:bottom w:w="0" w:type="dxa"/>
              <w:right w:w="108" w:type="dxa"/>
            </w:tcMar>
            <w:vAlign w:val="center"/>
          </w:tcPr>
          <w:p>
            <w:pPr>
              <w:rPr>
                <w:rFonts w:ascii="仿宋" w:eastAsia="仿宋" w:hAnsi="仿宋" w:cs="仿宋" w:hint="eastAsia"/>
                <w:sz w:val="24"/>
              </w:rPr>
            </w:pPr>
            <w:r>
              <w:rPr>
                <w:rFonts w:ascii="仿宋" w:eastAsia="仿宋" w:hAnsi="仿宋" w:cs="仿宋" w:hint="eastAsia"/>
                <w:sz w:val="24"/>
                <w:lang w:val="en-US" w:eastAsia="zh-CN"/>
              </w:rPr>
              <w:t>寿县</w:t>
            </w:r>
            <w:r>
              <w:rPr>
                <w:rFonts w:ascii="仿宋" w:eastAsia="仿宋" w:hAnsi="仿宋" w:cs="仿宋" w:hint="eastAsia"/>
                <w:sz w:val="24"/>
                <w:lang w:eastAsia="zh-CN"/>
              </w:rPr>
              <w:t>档案馆</w:t>
            </w:r>
            <w:r>
              <w:rPr>
                <w:rFonts w:ascii="仿宋" w:eastAsia="仿宋" w:hAnsi="仿宋" w:cs="仿宋" w:hint="eastAsia"/>
                <w:sz w:val="24"/>
              </w:rPr>
              <w:t>本级</w:t>
            </w:r>
          </w:p>
        </w:tc>
      </w:tr>
    </w:tbl>
    <w:p>
      <w:pPr>
        <w:jc w:val="center"/>
        <w:rPr>
          <w:rFonts w:ascii="仿宋_GB2312" w:hAnsi="黑体" w:hint="eastAsia"/>
          <w:sz w:val="14"/>
          <w:szCs w:val="32"/>
        </w:rPr>
      </w:pPr>
    </w:p>
    <w:p>
      <w:pPr>
        <w:ind w:firstLine="640" w:firstLineChars="200"/>
        <w:rPr>
          <w:rFonts w:ascii="黑体" w:eastAsia="黑体" w:hAnsi="黑体" w:hint="eastAsia"/>
          <w:sz w:val="32"/>
          <w:szCs w:val="32"/>
        </w:rPr>
      </w:pPr>
    </w:p>
    <w:p>
      <w:pPr>
        <w:ind w:firstLine="640" w:firstLineChars="200"/>
        <w:rPr>
          <w:rFonts w:ascii="黑体" w:eastAsia="黑体" w:hAnsi="黑体" w:hint="eastAsia"/>
          <w:sz w:val="32"/>
          <w:szCs w:val="32"/>
        </w:rPr>
      </w:pPr>
    </w:p>
    <w:p>
      <w:pPr>
        <w:ind w:firstLine="640" w:firstLineChars="200"/>
        <w:rPr>
          <w:rFonts w:ascii="黑体" w:eastAsia="黑体" w:hAnsi="黑体" w:hint="eastAsia"/>
          <w:sz w:val="32"/>
          <w:szCs w:val="32"/>
        </w:rPr>
      </w:pPr>
    </w:p>
    <w:p>
      <w:pPr>
        <w:ind w:firstLine="640" w:firstLineChars="200"/>
        <w:rPr>
          <w:rFonts w:ascii="黑体" w:eastAsia="黑体" w:hAnsi="黑体" w:hint="eastAsia"/>
          <w:sz w:val="32"/>
          <w:szCs w:val="32"/>
        </w:rPr>
      </w:pPr>
    </w:p>
    <w:p>
      <w:pPr>
        <w:ind w:firstLine="640" w:firstLineChars="200"/>
        <w:rPr>
          <w:rFonts w:ascii="黑体" w:eastAsia="黑体" w:hAnsi="黑体" w:hint="eastAsia"/>
          <w:sz w:val="32"/>
          <w:szCs w:val="32"/>
        </w:rPr>
      </w:pPr>
    </w:p>
    <w:p>
      <w:pPr>
        <w:ind w:firstLine="640" w:firstLineChars="200"/>
        <w:rPr>
          <w:rFonts w:ascii="黑体" w:eastAsia="黑体" w:hAnsi="黑体" w:hint="eastAsia"/>
          <w:sz w:val="32"/>
          <w:szCs w:val="32"/>
        </w:rPr>
      </w:pPr>
    </w:p>
    <w:p>
      <w:pPr>
        <w:ind w:firstLine="640" w:firstLineChars="200"/>
        <w:rPr>
          <w:rFonts w:ascii="黑体" w:eastAsia="黑体" w:hAnsi="黑体" w:hint="eastAsia"/>
          <w:sz w:val="32"/>
          <w:szCs w:val="32"/>
        </w:rPr>
      </w:pPr>
    </w:p>
    <w:p>
      <w:pPr>
        <w:rPr>
          <w:rFonts w:ascii="黑体" w:eastAsia="黑体" w:hAnsi="黑体" w:hint="eastAsia"/>
          <w:sz w:val="32"/>
          <w:szCs w:val="32"/>
        </w:rPr>
      </w:pPr>
    </w:p>
    <w:p>
      <w:pPr>
        <w:ind w:firstLine="640" w:firstLineChars="200"/>
        <w:rPr>
          <w:rFonts w:ascii="黑体" w:eastAsia="黑体" w:hAnsi="黑体" w:hint="eastAsia"/>
          <w:sz w:val="32"/>
          <w:szCs w:val="32"/>
          <w:lang w:val="en-US" w:eastAsia="zh-CN"/>
        </w:rPr>
      </w:pPr>
      <w:r>
        <w:rPr>
          <w:rFonts w:ascii="黑体" w:eastAsia="黑体" w:hAnsi="黑体" w:hint="eastAsia"/>
          <w:sz w:val="32"/>
          <w:szCs w:val="32"/>
        </w:rPr>
        <w:t xml:space="preserve">第二部分 </w:t>
      </w:r>
      <w:r>
        <w:rPr>
          <w:rFonts w:ascii="黑体" w:eastAsia="黑体" w:hAnsi="黑体" w:hint="eastAsia"/>
          <w:sz w:val="32"/>
          <w:szCs w:val="32"/>
          <w:lang w:val="en-US" w:eastAsia="zh-CN"/>
        </w:rPr>
        <w:t>寿县</w:t>
      </w:r>
      <w:r>
        <w:rPr>
          <w:rFonts w:ascii="黑体" w:eastAsia="黑体" w:hAnsi="黑体" w:hint="eastAsia"/>
          <w:sz w:val="32"/>
          <w:szCs w:val="32"/>
          <w:lang w:eastAsia="zh-CN"/>
        </w:rPr>
        <w:t>档案馆20</w:t>
      </w:r>
      <w:r>
        <w:rPr>
          <w:rFonts w:ascii="黑体" w:eastAsia="黑体" w:hAnsi="黑体" w:hint="eastAsia"/>
          <w:sz w:val="32"/>
          <w:szCs w:val="32"/>
          <w:lang w:val="en-US" w:eastAsia="zh-CN"/>
        </w:rPr>
        <w:t>20</w:t>
      </w:r>
      <w:r>
        <w:rPr>
          <w:rFonts w:ascii="黑体" w:eastAsia="黑体" w:hAnsi="黑体" w:hint="eastAsia"/>
          <w:sz w:val="32"/>
          <w:szCs w:val="32"/>
        </w:rPr>
        <w:t>年</w:t>
      </w:r>
      <w:r>
        <w:rPr>
          <w:rFonts w:ascii="黑体" w:eastAsia="黑体" w:hAnsi="黑体" w:hint="eastAsia"/>
          <w:sz w:val="32"/>
          <w:szCs w:val="32"/>
          <w:lang w:val="en-US" w:eastAsia="zh-CN"/>
        </w:rPr>
        <w:t>度</w:t>
      </w:r>
      <w:r>
        <w:rPr>
          <w:rFonts w:ascii="黑体" w:eastAsia="黑体" w:hAnsi="黑体" w:hint="eastAsia"/>
          <w:sz w:val="32"/>
          <w:szCs w:val="32"/>
        </w:rPr>
        <w:t>部门决算表</w:t>
      </w:r>
    </w:p>
    <w:p>
      <w:pPr>
        <w:ind w:firstLine="640" w:firstLineChars="200"/>
        <w:jc w:val="center"/>
        <w:rPr>
          <w:rFonts w:ascii="黑体" w:eastAsia="黑体" w:hAnsi="黑体" w:hint="eastAsia"/>
          <w:color w:val="auto"/>
          <w:sz w:val="32"/>
          <w:szCs w:val="32"/>
          <w:lang w:val="en-US" w:eastAsia="zh-CN"/>
        </w:rPr>
      </w:pPr>
      <w:r>
        <w:rPr>
          <w:rFonts w:ascii="黑体" w:eastAsia="黑体" w:hAnsi="黑体" w:hint="eastAsia"/>
          <w:color w:val="auto"/>
          <w:sz w:val="32"/>
          <w:szCs w:val="32"/>
          <w:lang w:val="en-US" w:eastAsia="zh-CN"/>
        </w:rPr>
        <w:t>一、收入支出决算总表</w:t>
      </w:r>
    </w:p>
    <w:tbl>
      <w:tblPr>
        <w:tblStyle w:val="TableNormal"/>
        <w:tblW w:w="9364" w:type="dxa"/>
        <w:tblInd w:w="91" w:type="dxa"/>
        <w:tblLayout w:type="fixed"/>
        <w:tblCellMar>
          <w:top w:w="15" w:type="dxa"/>
          <w:left w:w="108" w:type="dxa"/>
          <w:bottom w:w="15" w:type="dxa"/>
          <w:right w:w="108" w:type="dxa"/>
        </w:tblCellMar>
      </w:tblPr>
      <w:tblGrid>
        <w:gridCol w:w="3419"/>
        <w:gridCol w:w="1214"/>
        <w:gridCol w:w="3545"/>
        <w:gridCol w:w="1186"/>
      </w:tblGrid>
      <w:tr>
        <w:tblPrEx>
          <w:tblW w:w="9364" w:type="dxa"/>
          <w:tblInd w:w="91" w:type="dxa"/>
          <w:tblLayout w:type="fixed"/>
        </w:tblPrEx>
        <w:trPr>
          <w:trHeight w:hRule="exact" w:val="320"/>
        </w:trPr>
        <w:tc>
          <w:tcPr>
            <w:tcW w:w="3419" w:type="dxa"/>
            <w:noWrap w:val="0"/>
            <w:vAlign w:val="top"/>
          </w:tcPr>
          <w:p>
            <w:pPr>
              <w:jc w:val="left"/>
              <w:rPr>
                <w:rFonts w:ascii="Arial" w:eastAsia="宋体" w:hAnsi="Arial" w:cs="宋体"/>
                <w:color w:val="000000"/>
                <w:kern w:val="0"/>
                <w:sz w:val="20"/>
              </w:rPr>
            </w:pPr>
          </w:p>
        </w:tc>
        <w:tc>
          <w:tcPr>
            <w:tcW w:w="1214" w:type="dxa"/>
            <w:noWrap w:val="0"/>
            <w:vAlign w:val="top"/>
          </w:tcPr>
          <w:p>
            <w:pPr>
              <w:jc w:val="left"/>
              <w:rPr>
                <w:rFonts w:ascii="Arial" w:eastAsia="宋体" w:hAnsi="Arial" w:cs="宋体"/>
                <w:color w:val="000000"/>
                <w:kern w:val="0"/>
                <w:sz w:val="20"/>
              </w:rPr>
            </w:pPr>
          </w:p>
        </w:tc>
        <w:tc>
          <w:tcPr>
            <w:tcW w:w="4731" w:type="dxa"/>
            <w:gridSpan w:val="2"/>
            <w:noWrap w:val="0"/>
            <w:vAlign w:val="top"/>
          </w:tcPr>
          <w:p>
            <w:pPr>
              <w:jc w:val="left"/>
              <w:rPr>
                <w:rFonts w:ascii="Arial" w:eastAsia="宋体" w:hAnsi="Arial" w:cs="宋体" w:hint="eastAsia"/>
                <w:color w:val="000000"/>
                <w:kern w:val="0"/>
                <w:sz w:val="20"/>
                <w:lang w:eastAsia="zh-CN"/>
              </w:rPr>
            </w:pPr>
            <w:r>
              <w:rPr>
                <w:rFonts w:ascii="宋体" w:eastAsia="宋体" w:hAnsi="宋体" w:cs="宋体" w:hint="eastAsia"/>
                <w:i w:val="0"/>
                <w:color w:val="000000"/>
                <w:kern w:val="0"/>
                <w:sz w:val="20"/>
                <w:szCs w:val="20"/>
                <w:u w:val="none"/>
                <w:lang w:val="en-US" w:eastAsia="zh-CN" w:bidi="ar"/>
              </w:rPr>
              <w:t>公开01表</w:t>
            </w:r>
          </w:p>
        </w:tc>
      </w:tr>
      <w:tr>
        <w:tblPrEx>
          <w:tblW w:w="9364" w:type="dxa"/>
          <w:tblInd w:w="91" w:type="dxa"/>
          <w:tblLayout w:type="fixed"/>
        </w:tblPrEx>
        <w:trPr>
          <w:trHeight w:hRule="exact" w:val="320"/>
        </w:trPr>
        <w:tc>
          <w:tcPr>
            <w:tcW w:w="3419" w:type="dxa"/>
            <w:tcBorders>
              <w:bottom w:val="single" w:sz="4" w:space="0" w:color="auto"/>
            </w:tcBorders>
            <w:noWrap w:val="0"/>
            <w:vAlign w:val="top"/>
          </w:tcPr>
          <w:p>
            <w:pPr>
              <w:keepNext w:val="0"/>
              <w:keepLines w:val="0"/>
              <w:widowControl/>
              <w:suppressLineNumbers w:val="0"/>
              <w:jc w:val="left"/>
              <w:textAlignment w:val="bottom"/>
              <w:rPr>
                <w:rFonts w:ascii="宋体" w:eastAsia="宋体" w:hAnsi="宋体" w:cs="宋体"/>
                <w:color w:val="000000"/>
                <w:kern w:val="0"/>
                <w:sz w:val="20"/>
              </w:rPr>
            </w:pPr>
            <w:r>
              <w:rPr>
                <w:rFonts w:ascii="宋体" w:eastAsia="宋体" w:hAnsi="宋体" w:cs="宋体" w:hint="eastAsia"/>
                <w:i w:val="0"/>
                <w:color w:val="000000"/>
                <w:kern w:val="0"/>
                <w:sz w:val="20"/>
                <w:szCs w:val="20"/>
                <w:u w:val="none"/>
                <w:lang w:val="en-US" w:eastAsia="zh-CN" w:bidi="ar"/>
              </w:rPr>
              <w:t>部门：</w:t>
            </w:r>
          </w:p>
        </w:tc>
        <w:tc>
          <w:tcPr>
            <w:tcW w:w="1214" w:type="dxa"/>
            <w:tcBorders>
              <w:bottom w:val="single" w:sz="4" w:space="0" w:color="auto"/>
            </w:tcBorders>
            <w:noWrap w:val="0"/>
            <w:vAlign w:val="top"/>
          </w:tcPr>
          <w:p>
            <w:pPr>
              <w:jc w:val="left"/>
              <w:rPr>
                <w:rFonts w:ascii="Arial" w:eastAsia="宋体" w:hAnsi="Arial" w:cs="宋体"/>
                <w:color w:val="000000"/>
                <w:kern w:val="0"/>
                <w:sz w:val="20"/>
              </w:rPr>
            </w:pPr>
          </w:p>
        </w:tc>
        <w:tc>
          <w:tcPr>
            <w:tcW w:w="4731" w:type="dxa"/>
            <w:gridSpan w:val="2"/>
            <w:tcBorders>
              <w:bottom w:val="single" w:sz="4" w:space="0" w:color="auto"/>
            </w:tcBorders>
            <w:noWrap w:val="0"/>
            <w:vAlign w:val="top"/>
          </w:tcPr>
          <w:p>
            <w:pPr>
              <w:keepNext w:val="0"/>
              <w:keepLines w:val="0"/>
              <w:widowControl/>
              <w:suppressLineNumbers w:val="0"/>
              <w:jc w:val="left"/>
              <w:textAlignment w:val="bottom"/>
              <w:rPr>
                <w:rFonts w:ascii="宋体" w:eastAsia="宋体" w:hAnsi="宋体" w:cs="宋体"/>
                <w:color w:val="000000"/>
                <w:kern w:val="0"/>
                <w:sz w:val="24"/>
                <w:szCs w:val="24"/>
              </w:rPr>
            </w:pPr>
            <w:r>
              <w:rPr>
                <w:rFonts w:ascii="宋体" w:eastAsia="宋体" w:hAnsi="宋体" w:cs="宋体" w:hint="eastAsia"/>
                <w:i w:val="0"/>
                <w:color w:val="000000"/>
                <w:kern w:val="0"/>
                <w:sz w:val="20"/>
                <w:szCs w:val="20"/>
                <w:u w:val="none"/>
                <w:lang w:val="en-US" w:eastAsia="zh-CN" w:bidi="ar"/>
              </w:rPr>
              <w:t>金额单位：万元</w:t>
            </w:r>
          </w:p>
        </w:tc>
      </w:tr>
      <w:tr>
        <w:tblPrEx>
          <w:tblW w:w="9364" w:type="dxa"/>
          <w:tblInd w:w="91" w:type="dxa"/>
          <w:tblLayout w:type="fixed"/>
        </w:tblPrEx>
        <w:trPr>
          <w:trHeight w:hRule="exact" w:val="320"/>
        </w:trPr>
        <w:tc>
          <w:tcPr>
            <w:tcW w:w="4633" w:type="dxa"/>
            <w:gridSpan w:val="2"/>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收入</w:t>
            </w:r>
          </w:p>
        </w:tc>
        <w:tc>
          <w:tcPr>
            <w:tcW w:w="4731" w:type="dxa"/>
            <w:gridSpan w:val="2"/>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支出</w:t>
            </w: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项目</w:t>
            </w:r>
          </w:p>
        </w:tc>
        <w:tc>
          <w:tcPr>
            <w:tcW w:w="1214"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金额</w:t>
            </w: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项目</w:t>
            </w:r>
          </w:p>
        </w:tc>
        <w:tc>
          <w:tcPr>
            <w:tcW w:w="1186"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pPr>
            <w:r>
              <w:rPr>
                <w:rFonts w:ascii="宋体" w:eastAsia="宋体" w:hAnsi="宋体" w:cs="宋体" w:hint="eastAsia"/>
                <w:i w:val="0"/>
                <w:color w:val="000000"/>
                <w:kern w:val="0"/>
                <w:sz w:val="22"/>
                <w:szCs w:val="22"/>
                <w:u w:val="none"/>
                <w:lang w:val="en-US" w:eastAsia="zh-CN" w:bidi="ar"/>
              </w:rPr>
              <w:t>金额</w:t>
            </w:r>
          </w:p>
        </w:tc>
      </w:tr>
      <w:tr>
        <w:tblPrEx>
          <w:tblW w:w="9364" w:type="dxa"/>
          <w:tblInd w:w="91" w:type="dxa"/>
          <w:tblLayout w:type="fixed"/>
        </w:tblPrEx>
        <w:trPr>
          <w:trHeight w:hRule="exact" w:val="30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hint="eastAsia"/>
                <w:color w:val="auto"/>
                <w:kern w:val="0"/>
                <w:sz w:val="22"/>
                <w:szCs w:val="22"/>
              </w:rPr>
            </w:pPr>
            <w:r>
              <w:rPr>
                <w:rFonts w:ascii="宋体" w:eastAsia="宋体" w:hAnsi="宋体" w:cs="宋体" w:hint="eastAsia"/>
                <w:i w:val="0"/>
                <w:color w:val="auto"/>
                <w:kern w:val="0"/>
                <w:sz w:val="22"/>
                <w:szCs w:val="22"/>
                <w:u w:val="none"/>
                <w:lang w:val="en-US" w:eastAsia="zh-CN" w:bidi="ar"/>
              </w:rPr>
              <w:t>栏次</w:t>
            </w:r>
          </w:p>
        </w:tc>
        <w:tc>
          <w:tcPr>
            <w:tcW w:w="1214"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1</w:t>
            </w: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hint="eastAsia"/>
                <w:color w:val="auto"/>
                <w:kern w:val="0"/>
                <w:sz w:val="22"/>
                <w:szCs w:val="22"/>
              </w:rPr>
            </w:pPr>
            <w:r>
              <w:rPr>
                <w:rFonts w:ascii="宋体" w:eastAsia="宋体" w:hAnsi="宋体" w:cs="宋体" w:hint="eastAsia"/>
                <w:i w:val="0"/>
                <w:color w:val="auto"/>
                <w:kern w:val="0"/>
                <w:sz w:val="22"/>
                <w:szCs w:val="22"/>
                <w:u w:val="none"/>
                <w:lang w:val="en-US" w:eastAsia="zh-CN" w:bidi="ar"/>
              </w:rPr>
              <w:t>栏次</w:t>
            </w:r>
          </w:p>
        </w:tc>
        <w:tc>
          <w:tcPr>
            <w:tcW w:w="1186"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color w:val="auto"/>
              </w:rPr>
            </w:pPr>
            <w:r>
              <w:rPr>
                <w:rFonts w:ascii="宋体" w:eastAsia="宋体" w:hAnsi="宋体" w:cs="宋体" w:hint="eastAsia"/>
                <w:i w:val="0"/>
                <w:color w:val="auto"/>
                <w:kern w:val="0"/>
                <w:sz w:val="22"/>
                <w:szCs w:val="22"/>
                <w:u w:val="none"/>
                <w:lang w:val="en-US" w:eastAsia="zh-CN" w:bidi="ar"/>
              </w:rPr>
              <w:t>2</w:t>
            </w: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Arial"/>
                <w:color w:val="auto"/>
                <w:sz w:val="22"/>
                <w:szCs w:val="22"/>
              </w:rPr>
            </w:pPr>
            <w:r>
              <w:rPr>
                <w:rFonts w:ascii="宋体" w:eastAsia="宋体" w:hAnsi="宋体" w:cs="宋体" w:hint="eastAsia"/>
                <w:i w:val="0"/>
                <w:color w:val="auto"/>
                <w:kern w:val="0"/>
                <w:sz w:val="22"/>
                <w:szCs w:val="22"/>
                <w:u w:val="none"/>
                <w:lang w:val="en-US" w:eastAsia="zh-CN" w:bidi="ar"/>
              </w:rPr>
              <w:t>一、一般公共预算财政拨款收入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Calibri" w:hAnsi="Calibri" w:cs="Times New Roman" w:hint="eastAsia"/>
                <w:color w:val="auto"/>
                <w:lang w:val="en-US" w:eastAsia="zh-CN"/>
              </w:rPr>
            </w:pPr>
            <w:r>
              <w:rPr>
                <w:rFonts w:ascii="Calibri" w:hAnsi="Calibri" w:cs="Times New Roman" w:hint="eastAsia"/>
                <w:color w:val="auto"/>
                <w:lang w:val="en-US" w:eastAsia="zh-CN"/>
              </w:rPr>
              <w:t>428.68</w:t>
            </w: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一、一般公共服务支出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r>
              <w:rPr>
                <w:rFonts w:ascii="宋体" w:hAnsi="宋体" w:cs="宋体" w:hint="eastAsia"/>
                <w:color w:val="auto"/>
                <w:kern w:val="0"/>
                <w:sz w:val="22"/>
                <w:szCs w:val="22"/>
                <w:lang w:val="en-US" w:bidi="zh-CN"/>
              </w:rPr>
              <w:t>374.95</w:t>
            </w: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Arial"/>
                <w:color w:val="auto"/>
                <w:sz w:val="22"/>
                <w:szCs w:val="22"/>
              </w:rPr>
            </w:pPr>
            <w:r>
              <w:rPr>
                <w:rFonts w:ascii="宋体" w:eastAsia="宋体" w:hAnsi="宋体" w:cs="宋体" w:hint="eastAsia"/>
                <w:i w:val="0"/>
                <w:color w:val="auto"/>
                <w:kern w:val="0"/>
                <w:sz w:val="22"/>
                <w:szCs w:val="22"/>
                <w:u w:val="none"/>
                <w:lang w:val="en-US" w:eastAsia="zh-CN" w:bidi="ar"/>
              </w:rPr>
              <w:t>二、政府性基金预算财政拨款收入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Calibri" w:hAnsi="Calibri" w:cs="Times New Roman" w:hint="eastAsia"/>
                <w:color w:val="auto"/>
                <w:lang w:val="en-US" w:eastAsia="zh-CN"/>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二、外交支出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Arial"/>
                <w:color w:val="auto"/>
                <w:sz w:val="22"/>
                <w:szCs w:val="22"/>
              </w:rPr>
            </w:pPr>
            <w:r>
              <w:rPr>
                <w:rFonts w:ascii="宋体" w:eastAsia="宋体" w:hAnsi="宋体" w:cs="宋体" w:hint="eastAsia"/>
                <w:i w:val="0"/>
                <w:color w:val="auto"/>
                <w:kern w:val="0"/>
                <w:sz w:val="22"/>
                <w:szCs w:val="22"/>
                <w:u w:val="none"/>
                <w:lang w:val="en-US" w:eastAsia="zh-CN" w:bidi="ar"/>
              </w:rPr>
              <w:t>三、国有资本经营预算财政拨款收入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Calibri" w:hAnsi="Calibri" w:cs="Times New Roman" w:hint="eastAsia"/>
                <w:color w:val="auto"/>
                <w:lang w:val="en-US" w:eastAsia="zh-CN"/>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三、国防支出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Arial"/>
                <w:color w:val="auto"/>
                <w:sz w:val="22"/>
                <w:szCs w:val="22"/>
              </w:rPr>
            </w:pPr>
            <w:r>
              <w:rPr>
                <w:rFonts w:ascii="宋体" w:eastAsia="宋体" w:hAnsi="宋体" w:cs="宋体" w:hint="eastAsia"/>
                <w:i w:val="0"/>
                <w:color w:val="auto"/>
                <w:kern w:val="0"/>
                <w:sz w:val="22"/>
                <w:szCs w:val="22"/>
                <w:u w:val="none"/>
                <w:lang w:val="en-US" w:eastAsia="zh-CN" w:bidi="ar"/>
              </w:rPr>
              <w:t>四、上级补助收入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Calibri" w:hAnsi="Calibri" w:cs="Times New Roman" w:hint="eastAsia"/>
                <w:color w:val="auto"/>
                <w:lang w:val="en-US" w:eastAsia="zh-CN"/>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四、公共安全支出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Arial"/>
                <w:color w:val="auto"/>
                <w:sz w:val="22"/>
                <w:szCs w:val="22"/>
              </w:rPr>
            </w:pPr>
            <w:r>
              <w:rPr>
                <w:rFonts w:ascii="宋体" w:eastAsia="宋体" w:hAnsi="宋体" w:cs="宋体" w:hint="eastAsia"/>
                <w:i w:val="0"/>
                <w:color w:val="auto"/>
                <w:kern w:val="0"/>
                <w:sz w:val="22"/>
                <w:szCs w:val="22"/>
                <w:u w:val="none"/>
                <w:lang w:val="en-US" w:eastAsia="zh-CN" w:bidi="ar"/>
              </w:rPr>
              <w:t>五、事业收入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Calibri" w:hAnsi="Calibri" w:cs="Times New Roman" w:hint="eastAsia"/>
                <w:color w:val="auto"/>
                <w:lang w:val="en-US" w:eastAsia="zh-CN"/>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五、教育支出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Arial"/>
                <w:color w:val="auto"/>
                <w:sz w:val="22"/>
                <w:szCs w:val="22"/>
              </w:rPr>
            </w:pPr>
            <w:r>
              <w:rPr>
                <w:rFonts w:ascii="宋体" w:eastAsia="宋体" w:hAnsi="宋体" w:cs="宋体" w:hint="eastAsia"/>
                <w:i w:val="0"/>
                <w:color w:val="auto"/>
                <w:kern w:val="0"/>
                <w:sz w:val="22"/>
                <w:szCs w:val="22"/>
                <w:u w:val="none"/>
                <w:lang w:val="en-US" w:eastAsia="zh-CN" w:bidi="ar"/>
              </w:rPr>
              <w:t>六、经营收入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六、科学技术支出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Arial"/>
                <w:color w:val="auto"/>
                <w:sz w:val="22"/>
                <w:szCs w:val="22"/>
              </w:rPr>
            </w:pPr>
            <w:r>
              <w:rPr>
                <w:rFonts w:ascii="宋体" w:eastAsia="宋体" w:hAnsi="宋体" w:cs="宋体" w:hint="eastAsia"/>
                <w:i w:val="0"/>
                <w:color w:val="auto"/>
                <w:kern w:val="0"/>
                <w:sz w:val="22"/>
                <w:szCs w:val="22"/>
                <w:u w:val="none"/>
                <w:lang w:val="en-US" w:eastAsia="zh-CN" w:bidi="ar"/>
              </w:rPr>
              <w:t>七、附属单位上缴收入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七、文化旅游体育与传媒支出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八、其他收入</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八、社会保障和就业支出</w:t>
            </w:r>
          </w:p>
        </w:tc>
        <w:tc>
          <w:tcPr>
            <w:tcW w:w="1186" w:type="dxa"/>
            <w:tcBorders>
              <w:top w:val="single" w:sz="4" w:space="0" w:color="auto"/>
              <w:left w:val="single" w:sz="4" w:space="0" w:color="auto"/>
              <w:bottom w:val="single" w:sz="4" w:space="0" w:color="auto"/>
              <w:right w:val="single" w:sz="4" w:space="0" w:color="auto"/>
            </w:tcBorders>
            <w:noWrap w:val="0"/>
            <w:vAlign w:val="center"/>
          </w:tcPr>
          <w:p>
            <w:pPr>
              <w:widowControl/>
              <w:jc w:val="right"/>
              <w:rPr>
                <w:color w:val="auto"/>
              </w:rPr>
            </w:pPr>
            <w:r>
              <w:rPr>
                <w:rFonts w:ascii="宋体" w:hAnsi="宋体" w:cs="宋体" w:hint="eastAsia"/>
                <w:color w:val="auto"/>
                <w:kern w:val="0"/>
                <w:sz w:val="22"/>
                <w:szCs w:val="22"/>
                <w:lang w:val="en-US" w:bidi="zh-CN"/>
              </w:rPr>
              <w:t>36.09</w:t>
            </w: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九、卫生健康支出</w:t>
            </w:r>
          </w:p>
        </w:tc>
        <w:tc>
          <w:tcPr>
            <w:tcW w:w="1186" w:type="dxa"/>
            <w:tcBorders>
              <w:top w:val="single" w:sz="4" w:space="0" w:color="auto"/>
              <w:left w:val="single" w:sz="4" w:space="0" w:color="auto"/>
              <w:bottom w:val="single" w:sz="4" w:space="0" w:color="auto"/>
              <w:right w:val="single" w:sz="4" w:space="0" w:color="auto"/>
            </w:tcBorders>
            <w:noWrap w:val="0"/>
            <w:vAlign w:val="center"/>
          </w:tcPr>
          <w:p>
            <w:pPr>
              <w:widowControl/>
              <w:jc w:val="right"/>
              <w:rPr>
                <w:color w:val="auto"/>
              </w:rPr>
            </w:pPr>
            <w:r>
              <w:rPr>
                <w:rFonts w:ascii="宋体" w:hAnsi="宋体" w:cs="宋体" w:hint="eastAsia"/>
                <w:color w:val="auto"/>
                <w:kern w:val="0"/>
                <w:sz w:val="22"/>
                <w:szCs w:val="22"/>
                <w:lang w:val="en-US" w:bidi="zh-CN"/>
              </w:rPr>
              <w:t>8.28</w:t>
            </w: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十、节能环保支出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十一、城乡社区支出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十二、农林水支出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十三、交通运输支出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十四、资源勘探工业信息等支出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十五、商业服务业等支出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十六、金融支出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十七、援助其他地区支出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十八、自然资源海洋气象等支出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十九、住房保障支出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rFonts w:eastAsia="仿宋_GB2312" w:hint="default"/>
                <w:color w:val="auto"/>
                <w:lang w:val="en-US" w:eastAsia="zh-CN"/>
              </w:rPr>
            </w:pPr>
            <w:r>
              <w:rPr>
                <w:rFonts w:hint="eastAsia"/>
                <w:color w:val="auto"/>
                <w:lang w:val="en-US" w:eastAsia="zh-CN"/>
              </w:rPr>
              <w:t>9.36</w:t>
            </w: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二十、粮油物资储备支出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二十一、国有资本经营预算支出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0"/>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0"/>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二十二、灾害防治及应急管理支出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二十三、其他支出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hint="eastAsia"/>
                <w:b/>
                <w:bCs/>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hint="eastAsia"/>
                <w:bCs/>
                <w:color w:val="auto"/>
                <w:kern w:val="0"/>
                <w:sz w:val="22"/>
                <w:szCs w:val="22"/>
              </w:rPr>
            </w:pPr>
            <w:r>
              <w:rPr>
                <w:rFonts w:ascii="宋体" w:eastAsia="宋体" w:hAnsi="宋体" w:cs="宋体" w:hint="eastAsia"/>
                <w:i w:val="0"/>
                <w:color w:val="auto"/>
                <w:kern w:val="0"/>
                <w:sz w:val="22"/>
                <w:szCs w:val="22"/>
                <w:u w:val="none"/>
                <w:lang w:val="en-US" w:eastAsia="zh-CN" w:bidi="ar"/>
              </w:rPr>
              <w:t>二十四、债务还本支出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b/>
                <w:bCs/>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b/>
                <w:bCs/>
                <w:color w:val="auto"/>
                <w:kern w:val="0"/>
                <w:sz w:val="22"/>
                <w:szCs w:val="22"/>
              </w:rPr>
            </w:pPr>
            <w:r>
              <w:rPr>
                <w:rFonts w:ascii="宋体" w:eastAsia="宋体" w:hAnsi="宋体" w:cs="宋体" w:hint="eastAsia"/>
                <w:i w:val="0"/>
                <w:color w:val="auto"/>
                <w:kern w:val="0"/>
                <w:sz w:val="22"/>
                <w:szCs w:val="22"/>
                <w:u w:val="none"/>
                <w:lang w:val="en-US" w:eastAsia="zh-CN" w:bidi="ar"/>
              </w:rPr>
              <w:t>二十五、债务付息支出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二十六、抗疫特别国债安排的支出</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b/>
                <w:i w:val="0"/>
                <w:color w:val="auto"/>
                <w:kern w:val="0"/>
                <w:sz w:val="22"/>
                <w:szCs w:val="22"/>
                <w:u w:val="none"/>
                <w:lang w:val="en-US" w:eastAsia="zh-CN" w:bidi="ar"/>
              </w:rPr>
              <w:t>本年收入合计</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r>
              <w:rPr>
                <w:rFonts w:ascii="宋体" w:hAnsi="宋体" w:cs="宋体" w:hint="eastAsia"/>
                <w:color w:val="auto"/>
                <w:kern w:val="0"/>
                <w:sz w:val="22"/>
                <w:szCs w:val="22"/>
                <w:lang w:val="en-US" w:bidi="zh-CN"/>
              </w:rPr>
              <w:t>428.68</w:t>
            </w: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b/>
                <w:i w:val="0"/>
                <w:color w:val="auto"/>
                <w:kern w:val="0"/>
                <w:sz w:val="22"/>
                <w:szCs w:val="22"/>
                <w:u w:val="none"/>
                <w:lang w:val="en-US" w:eastAsia="zh-CN" w:bidi="ar"/>
              </w:rPr>
              <w:t>本年支出合计</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r>
              <w:rPr>
                <w:rFonts w:ascii="宋体" w:hAnsi="宋体" w:cs="宋体" w:hint="eastAsia"/>
                <w:color w:val="auto"/>
                <w:kern w:val="0"/>
                <w:sz w:val="22"/>
                <w:szCs w:val="22"/>
                <w:lang w:val="en-US" w:bidi="zh-CN"/>
              </w:rPr>
              <w:t>428.68</w:t>
            </w: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 xml:space="preserve">    使用非财政拨款结余</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color w:val="auto"/>
                <w:kern w:val="0"/>
                <w:sz w:val="22"/>
                <w:szCs w:val="22"/>
              </w:rPr>
            </w:pPr>
            <w:r>
              <w:rPr>
                <w:rFonts w:ascii="宋体" w:eastAsia="宋体" w:hAnsi="宋体" w:cs="宋体" w:hint="eastAsia"/>
                <w:i w:val="0"/>
                <w:color w:val="auto"/>
                <w:kern w:val="0"/>
                <w:sz w:val="22"/>
                <w:szCs w:val="22"/>
                <w:u w:val="none"/>
                <w:lang w:val="en-US" w:eastAsia="zh-CN" w:bidi="ar"/>
              </w:rPr>
              <w:t>结余分配</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r>
        <w:tblPrEx>
          <w:tblW w:w="9364" w:type="dxa"/>
          <w:tblInd w:w="91" w:type="dxa"/>
          <w:tblLayout w:type="fixed"/>
        </w:tblPrEx>
        <w:trPr>
          <w:trHeight w:hRule="exact" w:val="320"/>
        </w:trPr>
        <w:tc>
          <w:tcPr>
            <w:tcW w:w="3419"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b/>
                <w:bCs/>
                <w:color w:val="auto"/>
                <w:kern w:val="0"/>
                <w:sz w:val="22"/>
                <w:szCs w:val="22"/>
              </w:rPr>
            </w:pPr>
            <w:r>
              <w:rPr>
                <w:rFonts w:ascii="宋体" w:eastAsia="宋体" w:hAnsi="宋体" w:cs="宋体" w:hint="eastAsia"/>
                <w:i w:val="0"/>
                <w:color w:val="auto"/>
                <w:kern w:val="0"/>
                <w:sz w:val="22"/>
                <w:szCs w:val="22"/>
                <w:u w:val="none"/>
                <w:lang w:val="en-US" w:eastAsia="zh-CN" w:bidi="ar"/>
              </w:rPr>
              <w:t xml:space="preserve">    年初结转和结余</w:t>
            </w:r>
          </w:p>
        </w:tc>
        <w:tc>
          <w:tcPr>
            <w:tcW w:w="1214" w:type="dxa"/>
            <w:tcBorders>
              <w:top w:val="single" w:sz="4" w:space="0" w:color="auto"/>
              <w:left w:val="single" w:sz="4" w:space="0" w:color="auto"/>
              <w:bottom w:val="single" w:sz="4" w:space="0" w:color="auto"/>
              <w:right w:val="single" w:sz="4" w:space="0" w:color="auto"/>
            </w:tcBorders>
            <w:noWrap w:val="0"/>
            <w:vAlign w:val="top"/>
          </w:tcPr>
          <w:p>
            <w:pPr>
              <w:jc w:val="left"/>
              <w:rPr>
                <w:rFonts w:ascii="宋体" w:eastAsia="宋体" w:hAnsi="宋体" w:cs="宋体"/>
                <w:color w:val="auto"/>
                <w:kern w:val="0"/>
                <w:sz w:val="22"/>
                <w:szCs w:val="22"/>
              </w:rPr>
            </w:pPr>
          </w:p>
        </w:tc>
        <w:tc>
          <w:tcPr>
            <w:tcW w:w="3545" w:type="dxa"/>
            <w:tcBorders>
              <w:top w:val="single" w:sz="4" w:space="0" w:color="auto"/>
              <w:left w:val="single" w:sz="4" w:space="0" w:color="auto"/>
              <w:bottom w:val="single" w:sz="4" w:space="0" w:color="auto"/>
              <w:right w:val="single" w:sz="4" w:space="0" w:color="auto"/>
            </w:tcBorders>
            <w:noWrap w:val="0"/>
            <w:vAlign w:val="top"/>
          </w:tcPr>
          <w:p>
            <w:pPr>
              <w:keepNext w:val="0"/>
              <w:keepLines w:val="0"/>
              <w:widowControl/>
              <w:suppressLineNumbers w:val="0"/>
              <w:jc w:val="left"/>
              <w:textAlignment w:val="center"/>
              <w:rPr>
                <w:rFonts w:ascii="宋体" w:eastAsia="宋体" w:hAnsi="宋体" w:cs="宋体"/>
                <w:b/>
                <w:bCs/>
                <w:color w:val="auto"/>
                <w:kern w:val="0"/>
                <w:sz w:val="22"/>
                <w:szCs w:val="22"/>
              </w:rPr>
            </w:pPr>
            <w:r>
              <w:rPr>
                <w:rFonts w:ascii="宋体" w:eastAsia="宋体" w:hAnsi="宋体" w:cs="宋体" w:hint="eastAsia"/>
                <w:i w:val="0"/>
                <w:color w:val="auto"/>
                <w:kern w:val="0"/>
                <w:sz w:val="22"/>
                <w:szCs w:val="22"/>
                <w:u w:val="none"/>
                <w:lang w:val="en-US" w:eastAsia="zh-CN" w:bidi="ar"/>
              </w:rPr>
              <w:t>年末结转和结余</w:t>
            </w:r>
          </w:p>
        </w:tc>
        <w:tc>
          <w:tcPr>
            <w:tcW w:w="1186" w:type="dxa"/>
            <w:tcBorders>
              <w:top w:val="single" w:sz="4" w:space="0" w:color="auto"/>
              <w:left w:val="single" w:sz="4" w:space="0" w:color="auto"/>
              <w:bottom w:val="single" w:sz="4" w:space="0" w:color="auto"/>
              <w:right w:val="single" w:sz="4" w:space="0" w:color="auto"/>
            </w:tcBorders>
            <w:noWrap w:val="0"/>
            <w:vAlign w:val="top"/>
          </w:tcPr>
          <w:p>
            <w:pPr>
              <w:jc w:val="left"/>
              <w:rPr>
                <w:color w:val="auto"/>
              </w:rPr>
            </w:pPr>
          </w:p>
        </w:tc>
      </w:tr>
    </w:tbl>
    <w:p>
      <w:pPr>
        <w:jc w:val="center"/>
        <w:rPr>
          <w:rFonts w:ascii="黑体" w:eastAsia="黑体" w:hAnsi="黑体" w:hint="eastAsia"/>
          <w:color w:val="auto"/>
          <w:sz w:val="32"/>
          <w:szCs w:val="32"/>
        </w:rPr>
      </w:pPr>
      <w:r>
        <w:rPr>
          <w:rFonts w:ascii="黑体" w:eastAsia="黑体" w:hAnsi="黑体" w:hint="eastAsia"/>
          <w:color w:val="auto"/>
          <w:sz w:val="32"/>
          <w:szCs w:val="32"/>
          <w:lang w:val="en-US" w:eastAsia="zh-CN"/>
        </w:rPr>
        <w:t>二、</w:t>
      </w:r>
      <w:r>
        <w:rPr>
          <w:rFonts w:ascii="黑体" w:eastAsia="黑体" w:hAnsi="黑体" w:hint="eastAsia"/>
          <w:color w:val="auto"/>
          <w:sz w:val="32"/>
          <w:szCs w:val="32"/>
        </w:rPr>
        <w:t>收入决算表</w:t>
      </w:r>
    </w:p>
    <w:p>
      <w:pPr>
        <w:ind w:firstLine="420" w:firstLineChars="200"/>
        <w:rPr>
          <w:rFonts w:ascii="宋体" w:eastAsia="宋体" w:hAnsi="宋体" w:hint="eastAsia"/>
          <w:color w:val="auto"/>
          <w:sz w:val="20"/>
        </w:rPr>
      </w:pPr>
      <w:r>
        <w:rPr>
          <w:rFonts w:ascii="黑体" w:eastAsia="黑体" w:hAnsi="黑体" w:hint="eastAsia"/>
          <w:color w:val="auto"/>
          <w:szCs w:val="32"/>
        </w:rPr>
        <w:t xml:space="preserve">                                             </w:t>
      </w:r>
    </w:p>
    <w:tbl>
      <w:tblPr>
        <w:tblStyle w:val="TableNormal"/>
        <w:tblW w:w="0" w:type="auto"/>
        <w:tblInd w:w="93" w:type="dxa"/>
        <w:tblLayout w:type="fixed"/>
        <w:tblCellMar>
          <w:top w:w="15" w:type="dxa"/>
          <w:left w:w="108" w:type="dxa"/>
          <w:bottom w:w="15" w:type="dxa"/>
          <w:right w:w="108" w:type="dxa"/>
        </w:tblCellMar>
      </w:tblPr>
      <w:tblGrid>
        <w:gridCol w:w="1267"/>
        <w:gridCol w:w="1123"/>
        <w:gridCol w:w="1020"/>
        <w:gridCol w:w="1080"/>
        <w:gridCol w:w="705"/>
        <w:gridCol w:w="525"/>
        <w:gridCol w:w="868"/>
        <w:gridCol w:w="939"/>
        <w:gridCol w:w="1252"/>
        <w:gridCol w:w="626"/>
      </w:tblGrid>
      <w:tr>
        <w:tblPrEx>
          <w:tblW w:w="0" w:type="auto"/>
          <w:tblInd w:w="93" w:type="dxa"/>
          <w:tblLayout w:type="fixed"/>
        </w:tblPrEx>
        <w:trPr>
          <w:trHeight w:val="300"/>
        </w:trPr>
        <w:tc>
          <w:tcPr>
            <w:tcW w:w="2390" w:type="dxa"/>
            <w:gridSpan w:val="2"/>
            <w:noWrap w:val="0"/>
            <w:vAlign w:val="bottom"/>
          </w:tcPr>
          <w:p>
            <w:pPr>
              <w:widowControl/>
              <w:jc w:val="left"/>
              <w:rPr>
                <w:rFonts w:ascii="宋体" w:eastAsia="宋体" w:hAnsi="宋体" w:cs="宋体" w:hint="eastAsia"/>
                <w:color w:val="auto"/>
                <w:kern w:val="0"/>
                <w:sz w:val="20"/>
                <w:lang w:bidi="zh-CN"/>
              </w:rPr>
            </w:pPr>
          </w:p>
        </w:tc>
        <w:tc>
          <w:tcPr>
            <w:tcW w:w="1020" w:type="dxa"/>
            <w:noWrap w:val="0"/>
            <w:vAlign w:val="bottom"/>
          </w:tcPr>
          <w:p>
            <w:pPr>
              <w:widowControl/>
              <w:jc w:val="left"/>
              <w:rPr>
                <w:rFonts w:ascii="Arial" w:eastAsia="宋体" w:hAnsi="Arial" w:cs="宋体"/>
                <w:color w:val="auto"/>
                <w:kern w:val="0"/>
                <w:sz w:val="20"/>
                <w:lang w:bidi="zh-CN"/>
              </w:rPr>
            </w:pPr>
          </w:p>
        </w:tc>
        <w:tc>
          <w:tcPr>
            <w:tcW w:w="1080" w:type="dxa"/>
            <w:noWrap w:val="0"/>
            <w:vAlign w:val="bottom"/>
          </w:tcPr>
          <w:p>
            <w:pPr>
              <w:widowControl/>
              <w:jc w:val="left"/>
              <w:rPr>
                <w:rFonts w:ascii="Arial" w:eastAsia="宋体" w:hAnsi="Arial" w:cs="宋体"/>
                <w:color w:val="auto"/>
                <w:kern w:val="0"/>
                <w:sz w:val="20"/>
                <w:lang w:bidi="zh-CN"/>
              </w:rPr>
            </w:pPr>
          </w:p>
        </w:tc>
        <w:tc>
          <w:tcPr>
            <w:tcW w:w="705" w:type="dxa"/>
            <w:noWrap w:val="0"/>
            <w:vAlign w:val="bottom"/>
          </w:tcPr>
          <w:p>
            <w:pPr>
              <w:widowControl/>
              <w:jc w:val="center"/>
              <w:rPr>
                <w:rFonts w:ascii="宋体" w:eastAsia="宋体" w:hAnsi="宋体" w:cs="宋体"/>
                <w:color w:val="auto"/>
                <w:kern w:val="0"/>
                <w:sz w:val="20"/>
                <w:lang w:bidi="zh-CN"/>
              </w:rPr>
            </w:pPr>
          </w:p>
        </w:tc>
        <w:tc>
          <w:tcPr>
            <w:tcW w:w="1393" w:type="dxa"/>
            <w:gridSpan w:val="2"/>
            <w:noWrap w:val="0"/>
            <w:vAlign w:val="bottom"/>
          </w:tcPr>
          <w:p>
            <w:pPr>
              <w:widowControl/>
              <w:jc w:val="left"/>
              <w:rPr>
                <w:rFonts w:ascii="Arial" w:eastAsia="宋体" w:hAnsi="Arial" w:cs="宋体"/>
                <w:color w:val="auto"/>
                <w:kern w:val="0"/>
                <w:sz w:val="20"/>
                <w:lang w:bidi="zh-CN"/>
              </w:rPr>
            </w:pPr>
          </w:p>
        </w:tc>
        <w:tc>
          <w:tcPr>
            <w:tcW w:w="2817" w:type="dxa"/>
            <w:gridSpan w:val="3"/>
            <w:noWrap w:val="0"/>
            <w:vAlign w:val="bottom"/>
          </w:tcPr>
          <w:p>
            <w:pPr>
              <w:widowControl/>
              <w:jc w:val="right"/>
              <w:rPr>
                <w:rFonts w:ascii="宋体" w:eastAsia="宋体" w:hAnsi="宋体" w:cs="宋体" w:hint="eastAsia"/>
                <w:color w:val="auto"/>
                <w:kern w:val="0"/>
                <w:sz w:val="20"/>
              </w:rPr>
            </w:pPr>
            <w:r>
              <w:rPr>
                <w:rFonts w:ascii="宋体" w:eastAsia="宋体" w:hAnsi="宋体" w:cs="宋体" w:hint="eastAsia"/>
                <w:color w:val="auto"/>
                <w:kern w:val="0"/>
                <w:sz w:val="20"/>
              </w:rPr>
              <w:t xml:space="preserve"> 公开02表</w:t>
            </w:r>
          </w:p>
        </w:tc>
      </w:tr>
      <w:tr>
        <w:tblPrEx>
          <w:tblW w:w="0" w:type="auto"/>
          <w:tblInd w:w="93" w:type="dxa"/>
          <w:tblLayout w:type="fixed"/>
        </w:tblPrEx>
        <w:trPr>
          <w:trHeight w:val="300"/>
        </w:trPr>
        <w:tc>
          <w:tcPr>
            <w:tcW w:w="2390" w:type="dxa"/>
            <w:gridSpan w:val="2"/>
            <w:tcBorders>
              <w:bottom w:val="single" w:sz="12" w:space="0" w:color="000000"/>
            </w:tcBorders>
            <w:noWrap w:val="0"/>
            <w:vAlign w:val="bottom"/>
          </w:tcPr>
          <w:p>
            <w:pPr>
              <w:widowControl/>
              <w:jc w:val="left"/>
              <w:rPr>
                <w:rFonts w:ascii="Arial" w:eastAsia="宋体" w:hAnsi="Arial" w:cs="宋体"/>
                <w:color w:val="auto"/>
                <w:kern w:val="0"/>
                <w:sz w:val="20"/>
                <w:lang w:bidi="zh-CN"/>
              </w:rPr>
            </w:pPr>
            <w:r>
              <w:rPr>
                <w:rFonts w:ascii="宋体" w:eastAsia="宋体" w:hAnsi="宋体" w:cs="宋体" w:hint="eastAsia"/>
                <w:color w:val="auto"/>
                <w:kern w:val="0"/>
                <w:sz w:val="20"/>
                <w:lang w:bidi="zh-CN"/>
              </w:rPr>
              <w:t>部门：</w:t>
            </w:r>
          </w:p>
        </w:tc>
        <w:tc>
          <w:tcPr>
            <w:tcW w:w="1020" w:type="dxa"/>
            <w:tcBorders>
              <w:bottom w:val="single" w:sz="12" w:space="0" w:color="000000"/>
            </w:tcBorders>
            <w:noWrap w:val="0"/>
            <w:vAlign w:val="bottom"/>
          </w:tcPr>
          <w:p>
            <w:pPr>
              <w:widowControl/>
              <w:jc w:val="left"/>
              <w:rPr>
                <w:rFonts w:ascii="Arial" w:eastAsia="宋体" w:hAnsi="Arial" w:cs="宋体"/>
                <w:color w:val="auto"/>
                <w:kern w:val="0"/>
                <w:sz w:val="20"/>
                <w:lang w:bidi="zh-CN"/>
              </w:rPr>
            </w:pPr>
          </w:p>
        </w:tc>
        <w:tc>
          <w:tcPr>
            <w:tcW w:w="1080" w:type="dxa"/>
            <w:tcBorders>
              <w:bottom w:val="single" w:sz="12" w:space="0" w:color="000000"/>
            </w:tcBorders>
            <w:noWrap w:val="0"/>
            <w:vAlign w:val="bottom"/>
          </w:tcPr>
          <w:p>
            <w:pPr>
              <w:widowControl/>
              <w:jc w:val="left"/>
              <w:rPr>
                <w:rFonts w:ascii="Arial" w:eastAsia="宋体" w:hAnsi="Arial" w:cs="宋体"/>
                <w:color w:val="auto"/>
                <w:kern w:val="0"/>
                <w:sz w:val="20"/>
                <w:lang w:bidi="zh-CN"/>
              </w:rPr>
            </w:pPr>
          </w:p>
        </w:tc>
        <w:tc>
          <w:tcPr>
            <w:tcW w:w="705" w:type="dxa"/>
            <w:tcBorders>
              <w:bottom w:val="single" w:sz="12" w:space="0" w:color="000000"/>
            </w:tcBorders>
            <w:noWrap w:val="0"/>
            <w:vAlign w:val="bottom"/>
          </w:tcPr>
          <w:p>
            <w:pPr>
              <w:widowControl/>
              <w:jc w:val="center"/>
              <w:rPr>
                <w:rFonts w:ascii="宋体" w:eastAsia="宋体" w:hAnsi="宋体" w:cs="宋体"/>
                <w:color w:val="auto"/>
                <w:kern w:val="0"/>
                <w:sz w:val="20"/>
                <w:lang w:bidi="zh-CN"/>
              </w:rPr>
            </w:pPr>
          </w:p>
        </w:tc>
        <w:tc>
          <w:tcPr>
            <w:tcW w:w="1393" w:type="dxa"/>
            <w:gridSpan w:val="2"/>
            <w:tcBorders>
              <w:bottom w:val="single" w:sz="12" w:space="0" w:color="000000"/>
            </w:tcBorders>
            <w:noWrap w:val="0"/>
            <w:vAlign w:val="bottom"/>
          </w:tcPr>
          <w:p>
            <w:pPr>
              <w:widowControl/>
              <w:jc w:val="left"/>
              <w:rPr>
                <w:rFonts w:ascii="Arial" w:eastAsia="宋体" w:hAnsi="Arial" w:cs="宋体"/>
                <w:color w:val="auto"/>
                <w:kern w:val="0"/>
                <w:sz w:val="20"/>
                <w:lang w:bidi="zh-CN"/>
              </w:rPr>
            </w:pPr>
          </w:p>
        </w:tc>
        <w:tc>
          <w:tcPr>
            <w:tcW w:w="2817" w:type="dxa"/>
            <w:gridSpan w:val="3"/>
            <w:tcBorders>
              <w:bottom w:val="single" w:sz="12" w:space="0" w:color="000000"/>
            </w:tcBorders>
            <w:noWrap w:val="0"/>
            <w:vAlign w:val="bottom"/>
          </w:tcPr>
          <w:p>
            <w:pPr>
              <w:widowControl/>
              <w:ind w:right="60"/>
              <w:jc w:val="right"/>
              <w:rPr>
                <w:rFonts w:ascii="宋体" w:eastAsia="宋体" w:hAnsi="宋体" w:cs="宋体"/>
                <w:color w:val="auto"/>
                <w:kern w:val="0"/>
                <w:sz w:val="20"/>
                <w:lang w:bidi="zh-CN"/>
              </w:rPr>
            </w:pPr>
            <w:r>
              <w:rPr>
                <w:rFonts w:ascii="宋体" w:eastAsia="宋体" w:hAnsi="宋体" w:cs="宋体" w:hint="eastAsia"/>
                <w:color w:val="auto"/>
                <w:kern w:val="0"/>
                <w:sz w:val="20"/>
                <w:lang w:bidi="zh-CN"/>
              </w:rPr>
              <w:t>金额单位：万元</w:t>
            </w:r>
          </w:p>
        </w:tc>
      </w:tr>
      <w:tr>
        <w:tblPrEx>
          <w:tblW w:w="0" w:type="auto"/>
          <w:tblInd w:w="93" w:type="dxa"/>
          <w:tblLayout w:type="fixed"/>
        </w:tblPrEx>
        <w:trPr>
          <w:trHeight w:val="450"/>
        </w:trPr>
        <w:tc>
          <w:tcPr>
            <w:tcW w:w="2390" w:type="dxa"/>
            <w:gridSpan w:val="2"/>
            <w:tcBorders>
              <w:top w:val="single" w:sz="12" w:space="0" w:color="000000"/>
              <w:left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项目</w:t>
            </w:r>
          </w:p>
        </w:tc>
        <w:tc>
          <w:tcPr>
            <w:tcW w:w="1020" w:type="dxa"/>
            <w:vMerge w:val="restart"/>
            <w:tcBorders>
              <w:top w:val="single" w:sz="12"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本年收入合计</w:t>
            </w:r>
          </w:p>
        </w:tc>
        <w:tc>
          <w:tcPr>
            <w:tcW w:w="1080" w:type="dxa"/>
            <w:vMerge w:val="restart"/>
            <w:tcBorders>
              <w:top w:val="single" w:sz="12"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财政拨款收入</w:t>
            </w:r>
          </w:p>
        </w:tc>
        <w:tc>
          <w:tcPr>
            <w:tcW w:w="705" w:type="dxa"/>
            <w:vMerge w:val="restart"/>
            <w:tcBorders>
              <w:top w:val="single" w:sz="12"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上级补助收入</w:t>
            </w:r>
          </w:p>
        </w:tc>
        <w:tc>
          <w:tcPr>
            <w:tcW w:w="1393" w:type="dxa"/>
            <w:gridSpan w:val="2"/>
            <w:tcBorders>
              <w:top w:val="single" w:sz="12"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hint="eastAsia"/>
                <w:color w:val="auto"/>
                <w:kern w:val="0"/>
                <w:sz w:val="22"/>
                <w:szCs w:val="22"/>
                <w:lang w:bidi="zh-CN"/>
              </w:rPr>
            </w:pPr>
            <w:r>
              <w:rPr>
                <w:rFonts w:ascii="宋体" w:eastAsia="宋体" w:hAnsi="宋体" w:cs="宋体" w:hint="eastAsia"/>
                <w:color w:val="auto"/>
                <w:kern w:val="0"/>
                <w:sz w:val="22"/>
                <w:szCs w:val="22"/>
                <w:lang w:bidi="zh-CN"/>
              </w:rPr>
              <w:t>事业</w:t>
            </w:r>
          </w:p>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收入</w:t>
            </w:r>
          </w:p>
        </w:tc>
        <w:tc>
          <w:tcPr>
            <w:tcW w:w="939" w:type="dxa"/>
            <w:vMerge w:val="restart"/>
            <w:tcBorders>
              <w:top w:val="single" w:sz="12"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hint="eastAsia"/>
                <w:color w:val="auto"/>
                <w:kern w:val="0"/>
                <w:sz w:val="22"/>
                <w:szCs w:val="22"/>
                <w:lang w:bidi="zh-CN"/>
              </w:rPr>
            </w:pPr>
            <w:r>
              <w:rPr>
                <w:rFonts w:ascii="宋体" w:eastAsia="宋体" w:hAnsi="宋体" w:cs="宋体" w:hint="eastAsia"/>
                <w:color w:val="auto"/>
                <w:kern w:val="0"/>
                <w:sz w:val="22"/>
                <w:szCs w:val="22"/>
                <w:lang w:bidi="zh-CN"/>
              </w:rPr>
              <w:t>经营</w:t>
            </w:r>
          </w:p>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收入</w:t>
            </w:r>
          </w:p>
        </w:tc>
        <w:tc>
          <w:tcPr>
            <w:tcW w:w="1252" w:type="dxa"/>
            <w:vMerge w:val="restart"/>
            <w:tcBorders>
              <w:top w:val="single" w:sz="12"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附属单位上缴收入</w:t>
            </w:r>
          </w:p>
        </w:tc>
        <w:tc>
          <w:tcPr>
            <w:tcW w:w="626" w:type="dxa"/>
            <w:vMerge w:val="restart"/>
            <w:tcBorders>
              <w:top w:val="single" w:sz="12" w:space="0" w:color="000000"/>
              <w:left w:val="single" w:sz="4" w:space="0" w:color="000000"/>
              <w:bottom w:val="single" w:sz="4" w:space="0" w:color="000000"/>
              <w:right w:val="single" w:sz="12"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其他收入</w:t>
            </w:r>
          </w:p>
        </w:tc>
      </w:tr>
      <w:tr>
        <w:tblPrEx>
          <w:tblW w:w="0" w:type="auto"/>
          <w:tblInd w:w="93" w:type="dxa"/>
          <w:tblLayout w:type="fixed"/>
        </w:tblPrEx>
        <w:trPr>
          <w:trHeight w:val="915"/>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支出功能分类科目编码</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科目名称</w:t>
            </w:r>
          </w:p>
        </w:tc>
        <w:tc>
          <w:tcPr>
            <w:tcW w:w="1020" w:type="dxa"/>
            <w:vMerge/>
            <w:tcBorders>
              <w:top w:val="single" w:sz="4" w:space="0" w:color="000000"/>
              <w:left w:val="single" w:sz="4" w:space="0" w:color="000000"/>
              <w:bottom w:val="single" w:sz="4" w:space="0" w:color="000000"/>
              <w:right w:val="single" w:sz="4" w:space="0" w:color="000000"/>
            </w:tcBorders>
            <w:noWrap w:val="0"/>
            <w:vAlign w:val="center"/>
          </w:tcPr>
          <w:p>
            <w:pPr>
              <w:widowControl/>
              <w:jc w:val="left"/>
              <w:rPr>
                <w:rFonts w:ascii="宋体" w:eastAsia="宋体" w:hAnsi="宋体" w:cs="宋体"/>
                <w:color w:val="auto"/>
                <w:kern w:val="0"/>
                <w:sz w:val="22"/>
                <w:szCs w:val="22"/>
                <w:lang w:bidi="zh-CN"/>
              </w:rPr>
            </w:pPr>
          </w:p>
        </w:tc>
        <w:tc>
          <w:tcPr>
            <w:tcW w:w="1080" w:type="dxa"/>
            <w:vMerge/>
            <w:tcBorders>
              <w:top w:val="single" w:sz="4" w:space="0" w:color="000000"/>
              <w:left w:val="single" w:sz="4" w:space="0" w:color="000000"/>
              <w:bottom w:val="single" w:sz="4" w:space="0" w:color="000000"/>
              <w:right w:val="single" w:sz="4" w:space="0" w:color="000000"/>
            </w:tcBorders>
            <w:noWrap w:val="0"/>
            <w:vAlign w:val="center"/>
          </w:tcPr>
          <w:p>
            <w:pPr>
              <w:widowControl/>
              <w:jc w:val="left"/>
              <w:rPr>
                <w:rFonts w:ascii="宋体" w:eastAsia="宋体" w:hAnsi="宋体" w:cs="宋体"/>
                <w:color w:val="auto"/>
                <w:kern w:val="0"/>
                <w:sz w:val="22"/>
                <w:szCs w:val="22"/>
                <w:lang w:bidi="zh-CN"/>
              </w:rPr>
            </w:pPr>
          </w:p>
        </w:tc>
        <w:tc>
          <w:tcPr>
            <w:tcW w:w="705" w:type="dxa"/>
            <w:vMerge/>
            <w:tcBorders>
              <w:top w:val="single" w:sz="4" w:space="0" w:color="000000"/>
              <w:left w:val="single" w:sz="4" w:space="0" w:color="000000"/>
              <w:bottom w:val="single" w:sz="4" w:space="0" w:color="000000"/>
              <w:right w:val="single" w:sz="4" w:space="0" w:color="000000"/>
            </w:tcBorders>
            <w:noWrap w:val="0"/>
            <w:vAlign w:val="center"/>
          </w:tcPr>
          <w:p>
            <w:pPr>
              <w:widowControl/>
              <w:jc w:val="left"/>
              <w:rPr>
                <w:rFonts w:ascii="宋体" w:eastAsia="宋体" w:hAnsi="宋体" w:cs="宋体"/>
                <w:color w:val="auto"/>
                <w:kern w:val="0"/>
                <w:sz w:val="22"/>
                <w:szCs w:val="22"/>
                <w:lang w:bidi="zh-CN"/>
              </w:rPr>
            </w:pPr>
          </w:p>
        </w:tc>
        <w:tc>
          <w:tcPr>
            <w:tcW w:w="525" w:type="dxa"/>
            <w:tcBorders>
              <w:top w:val="single" w:sz="4" w:space="0" w:color="000000"/>
              <w:left w:val="single" w:sz="4" w:space="0" w:color="000000"/>
              <w:bottom w:val="single" w:sz="4" w:space="0" w:color="000000"/>
              <w:right w:val="single" w:sz="4" w:space="0" w:color="000000"/>
            </w:tcBorders>
            <w:noWrap w:val="0"/>
            <w:vAlign w:val="center"/>
          </w:tcPr>
          <w:p>
            <w:pPr>
              <w:widowControl/>
              <w:jc w:val="left"/>
              <w:rPr>
                <w:rFonts w:ascii="宋体" w:eastAsia="宋体" w:hAnsi="宋体" w:cs="宋体"/>
                <w:color w:val="auto"/>
                <w:kern w:val="0"/>
                <w:sz w:val="22"/>
                <w:szCs w:val="22"/>
                <w:lang w:val="en-US" w:bidi="zh-CN"/>
              </w:rPr>
            </w:pPr>
            <w:r>
              <w:rPr>
                <w:rFonts w:ascii="宋体" w:eastAsia="宋体" w:hAnsi="宋体" w:cs="宋体" w:hint="eastAsia"/>
                <w:color w:val="auto"/>
                <w:kern w:val="0"/>
                <w:sz w:val="22"/>
                <w:szCs w:val="22"/>
                <w:lang w:val="en-US" w:bidi="zh-CN"/>
              </w:rPr>
              <w:t>小计</w:t>
            </w:r>
          </w:p>
        </w:tc>
        <w:tc>
          <w:tcPr>
            <w:tcW w:w="868" w:type="dxa"/>
            <w:tcBorders>
              <w:top w:val="single" w:sz="4" w:space="0" w:color="000000"/>
              <w:left w:val="single" w:sz="4" w:space="0" w:color="000000"/>
              <w:bottom w:val="single" w:sz="4" w:space="0" w:color="000000"/>
              <w:right w:val="single" w:sz="4" w:space="0" w:color="000000"/>
            </w:tcBorders>
            <w:noWrap w:val="0"/>
            <w:vAlign w:val="center"/>
          </w:tcPr>
          <w:p>
            <w:pPr>
              <w:widowControl/>
              <w:jc w:val="left"/>
              <w:rPr>
                <w:rFonts w:ascii="宋体" w:eastAsia="宋体" w:hAnsi="宋体" w:cs="宋体"/>
                <w:color w:val="auto"/>
                <w:kern w:val="0"/>
                <w:sz w:val="22"/>
                <w:szCs w:val="22"/>
                <w:lang w:val="en-US" w:bidi="zh-CN"/>
              </w:rPr>
            </w:pPr>
            <w:r>
              <w:rPr>
                <w:rFonts w:ascii="宋体" w:eastAsia="宋体" w:hAnsi="宋体" w:cs="宋体" w:hint="eastAsia"/>
                <w:color w:val="auto"/>
                <w:kern w:val="0"/>
                <w:sz w:val="22"/>
                <w:szCs w:val="22"/>
                <w:lang w:val="en-US" w:bidi="zh-CN"/>
              </w:rPr>
              <w:t>其中：教育收费</w:t>
            </w:r>
          </w:p>
        </w:tc>
        <w:tc>
          <w:tcPr>
            <w:tcW w:w="939" w:type="dxa"/>
            <w:vMerge/>
            <w:tcBorders>
              <w:top w:val="single" w:sz="4" w:space="0" w:color="000000"/>
              <w:left w:val="single" w:sz="4" w:space="0" w:color="000000"/>
              <w:bottom w:val="single" w:sz="4" w:space="0" w:color="000000"/>
              <w:right w:val="single" w:sz="4" w:space="0" w:color="000000"/>
            </w:tcBorders>
            <w:noWrap w:val="0"/>
            <w:vAlign w:val="center"/>
          </w:tcPr>
          <w:p>
            <w:pPr>
              <w:widowControl/>
              <w:jc w:val="left"/>
              <w:rPr>
                <w:rFonts w:ascii="宋体" w:eastAsia="宋体" w:hAnsi="宋体" w:cs="宋体"/>
                <w:color w:val="auto"/>
                <w:kern w:val="0"/>
                <w:sz w:val="22"/>
                <w:szCs w:val="22"/>
                <w:lang w:bidi="zh-CN"/>
              </w:rPr>
            </w:pPr>
          </w:p>
        </w:tc>
        <w:tc>
          <w:tcPr>
            <w:tcW w:w="1252" w:type="dxa"/>
            <w:vMerge/>
            <w:tcBorders>
              <w:top w:val="single" w:sz="4" w:space="0" w:color="000000"/>
              <w:left w:val="single" w:sz="4" w:space="0" w:color="000000"/>
              <w:bottom w:val="single" w:sz="4" w:space="0" w:color="000000"/>
              <w:right w:val="single" w:sz="4" w:space="0" w:color="000000"/>
            </w:tcBorders>
            <w:noWrap w:val="0"/>
            <w:vAlign w:val="center"/>
          </w:tcPr>
          <w:p>
            <w:pPr>
              <w:widowControl/>
              <w:jc w:val="left"/>
              <w:rPr>
                <w:rFonts w:ascii="宋体" w:eastAsia="宋体" w:hAnsi="宋体" w:cs="宋体"/>
                <w:color w:val="auto"/>
                <w:kern w:val="0"/>
                <w:sz w:val="22"/>
                <w:szCs w:val="22"/>
                <w:lang w:bidi="zh-CN"/>
              </w:rPr>
            </w:pPr>
          </w:p>
        </w:tc>
        <w:tc>
          <w:tcPr>
            <w:tcW w:w="626" w:type="dxa"/>
            <w:vMerge/>
            <w:tcBorders>
              <w:top w:val="single" w:sz="4" w:space="0" w:color="000000"/>
              <w:left w:val="single" w:sz="4" w:space="0" w:color="000000"/>
              <w:bottom w:val="single" w:sz="4" w:space="0" w:color="000000"/>
              <w:right w:val="single" w:sz="12" w:space="0" w:color="000000"/>
            </w:tcBorders>
            <w:noWrap w:val="0"/>
            <w:vAlign w:val="center"/>
          </w:tcPr>
          <w:p>
            <w:pPr>
              <w:widowControl/>
              <w:jc w:val="lef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hint="eastAsia"/>
                <w:color w:val="auto"/>
                <w:kern w:val="0"/>
                <w:sz w:val="22"/>
                <w:szCs w:val="22"/>
                <w:lang w:bidi="zh-CN"/>
              </w:rPr>
            </w:pPr>
            <w:r>
              <w:rPr>
                <w:rFonts w:ascii="宋体" w:eastAsia="宋体" w:hAnsi="宋体" w:cs="宋体" w:hint="eastAsia"/>
                <w:color w:val="auto"/>
                <w:kern w:val="0"/>
                <w:sz w:val="22"/>
                <w:szCs w:val="22"/>
                <w:lang w:bidi="zh-CN"/>
              </w:rPr>
              <w:t>栏次</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auto"/>
                <w:kern w:val="0"/>
                <w:sz w:val="22"/>
                <w:szCs w:val="22"/>
                <w:lang w:bidi="zh-CN"/>
              </w:rPr>
            </w:pPr>
            <w:r>
              <w:rPr>
                <w:rFonts w:ascii="宋体" w:eastAsia="宋体" w:hAnsi="宋体" w:cs="宋体" w:hint="eastAsia"/>
                <w:color w:val="auto"/>
                <w:kern w:val="0"/>
                <w:sz w:val="22"/>
                <w:szCs w:val="22"/>
                <w:lang w:bidi="zh-CN"/>
              </w:rPr>
              <w:t>合计</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b/>
                <w:bCs/>
                <w:i w:val="0"/>
                <w:iCs w:val="0"/>
                <w:color w:val="auto"/>
                <w:kern w:val="0"/>
                <w:sz w:val="22"/>
                <w:szCs w:val="22"/>
                <w:u w:val="none"/>
                <w:lang w:val="en-US" w:eastAsia="zh-CN" w:bidi="ar"/>
              </w:rPr>
              <w:t>428.68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b/>
                <w:bCs/>
                <w:i w:val="0"/>
                <w:iCs w:val="0"/>
                <w:color w:val="auto"/>
                <w:kern w:val="0"/>
                <w:sz w:val="22"/>
                <w:szCs w:val="22"/>
                <w:u w:val="none"/>
                <w:lang w:val="en-US" w:eastAsia="zh-CN" w:bidi="ar"/>
              </w:rPr>
              <w:t>428.68</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201</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一般公共服务支出</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374.95</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374.95</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20126</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档案事务</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374.95</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374.95</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2012601</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 xml:space="preserve">  行政运行</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40.67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40.67</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2012604</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 xml:space="preserve">  档案馆</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334.29</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334.29</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208</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社会保障和就业支出</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36.09</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36.09</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20805</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行政事业单位养老支出</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13.32</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13.32</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2080501</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 xml:space="preserve">  行政单位离退休</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0.38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0.38</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2080505</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 xml:space="preserve">  机关事业单位基本养老保险缴费支出</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12.94</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12.94</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20808</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抚恤</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22.77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22.77</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2080801</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 xml:space="preserve">  死亡抚恤</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22.77</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22.77</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210</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卫生健康支出</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8.28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8.28</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21011</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行政事业单位医疗</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8.28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8.28</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2101101</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 xml:space="preserve">  行政单位医疗</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8.28</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8.28</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221</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住房保障支出</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9.36</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9.36</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22102</w:t>
            </w:r>
          </w:p>
        </w:tc>
        <w:tc>
          <w:tcPr>
            <w:tcW w:w="1123"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住房改革支出</w:t>
            </w:r>
          </w:p>
        </w:tc>
        <w:tc>
          <w:tcPr>
            <w:tcW w:w="102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9.36</w:t>
            </w:r>
          </w:p>
        </w:tc>
        <w:tc>
          <w:tcPr>
            <w:tcW w:w="1080" w:type="dxa"/>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9.36</w:t>
            </w:r>
          </w:p>
        </w:tc>
        <w:tc>
          <w:tcPr>
            <w:tcW w:w="705"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r>
        <w:tblPrEx>
          <w:tblW w:w="0" w:type="auto"/>
          <w:tblInd w:w="93" w:type="dxa"/>
          <w:tblLayout w:type="fixed"/>
        </w:tblPrEx>
        <w:trPr>
          <w:trHeight w:val="450"/>
        </w:trPr>
        <w:tc>
          <w:tcPr>
            <w:tcW w:w="1267" w:type="dxa"/>
            <w:tcBorders>
              <w:top w:val="single" w:sz="4" w:space="0" w:color="000000"/>
              <w:left w:val="single" w:sz="12" w:space="0" w:color="000000"/>
              <w:bottom w:val="single" w:sz="12"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2210201</w:t>
            </w:r>
          </w:p>
        </w:tc>
        <w:tc>
          <w:tcPr>
            <w:tcW w:w="1123" w:type="dxa"/>
            <w:tcBorders>
              <w:top w:val="single" w:sz="4" w:space="0" w:color="000000"/>
              <w:left w:val="single" w:sz="4" w:space="0" w:color="000000"/>
              <w:bottom w:val="single" w:sz="12"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 xml:space="preserve">  住房公积金</w:t>
            </w:r>
          </w:p>
        </w:tc>
        <w:tc>
          <w:tcPr>
            <w:tcW w:w="1020" w:type="dxa"/>
            <w:tcBorders>
              <w:top w:val="single" w:sz="4" w:space="0" w:color="000000"/>
              <w:left w:val="single" w:sz="4" w:space="0" w:color="000000"/>
              <w:bottom w:val="single" w:sz="12"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9.36</w:t>
            </w:r>
          </w:p>
        </w:tc>
        <w:tc>
          <w:tcPr>
            <w:tcW w:w="1080" w:type="dxa"/>
            <w:tcBorders>
              <w:top w:val="single" w:sz="4" w:space="0" w:color="000000"/>
              <w:left w:val="single" w:sz="4" w:space="0" w:color="000000"/>
              <w:bottom w:val="single" w:sz="12"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auto"/>
                <w:kern w:val="0"/>
                <w:sz w:val="22"/>
                <w:szCs w:val="22"/>
                <w:lang w:bidi="zh-CN"/>
              </w:rPr>
            </w:pPr>
            <w:r>
              <w:rPr>
                <w:rFonts w:ascii="宋体" w:eastAsia="宋体" w:hAnsi="宋体" w:cs="宋体" w:hint="eastAsia"/>
                <w:i w:val="0"/>
                <w:iCs w:val="0"/>
                <w:color w:val="auto"/>
                <w:kern w:val="0"/>
                <w:sz w:val="22"/>
                <w:szCs w:val="22"/>
                <w:u w:val="none"/>
                <w:lang w:val="en-US" w:eastAsia="zh-CN" w:bidi="ar"/>
              </w:rPr>
              <w:t>9.36</w:t>
            </w:r>
          </w:p>
        </w:tc>
        <w:tc>
          <w:tcPr>
            <w:tcW w:w="705" w:type="dxa"/>
            <w:tcBorders>
              <w:top w:val="single" w:sz="4" w:space="0" w:color="000000"/>
              <w:left w:val="single" w:sz="4" w:space="0" w:color="000000"/>
              <w:bottom w:val="single" w:sz="12"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393" w:type="dxa"/>
            <w:gridSpan w:val="2"/>
            <w:tcBorders>
              <w:top w:val="single" w:sz="4" w:space="0" w:color="000000"/>
              <w:left w:val="single" w:sz="4" w:space="0" w:color="000000"/>
              <w:bottom w:val="single" w:sz="12"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939" w:type="dxa"/>
            <w:tcBorders>
              <w:top w:val="single" w:sz="4" w:space="0" w:color="000000"/>
              <w:left w:val="single" w:sz="4" w:space="0" w:color="000000"/>
              <w:bottom w:val="single" w:sz="12"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1252" w:type="dxa"/>
            <w:tcBorders>
              <w:top w:val="single" w:sz="4" w:space="0" w:color="000000"/>
              <w:left w:val="single" w:sz="4" w:space="0" w:color="000000"/>
              <w:bottom w:val="single" w:sz="12" w:space="0" w:color="000000"/>
              <w:right w:val="single" w:sz="4" w:space="0" w:color="000000"/>
            </w:tcBorders>
            <w:noWrap w:val="0"/>
            <w:vAlign w:val="center"/>
          </w:tcPr>
          <w:p>
            <w:pPr>
              <w:widowControl/>
              <w:jc w:val="right"/>
              <w:rPr>
                <w:rFonts w:ascii="宋体" w:eastAsia="宋体" w:hAnsi="宋体" w:cs="宋体"/>
                <w:color w:val="auto"/>
                <w:kern w:val="0"/>
                <w:sz w:val="22"/>
                <w:szCs w:val="22"/>
                <w:lang w:bidi="zh-CN"/>
              </w:rPr>
            </w:pPr>
          </w:p>
        </w:tc>
        <w:tc>
          <w:tcPr>
            <w:tcW w:w="626" w:type="dxa"/>
            <w:tcBorders>
              <w:top w:val="single" w:sz="4" w:space="0" w:color="000000"/>
              <w:left w:val="single" w:sz="4" w:space="0" w:color="000000"/>
              <w:bottom w:val="single" w:sz="12" w:space="0" w:color="000000"/>
              <w:right w:val="single" w:sz="12" w:space="0" w:color="000000"/>
            </w:tcBorders>
            <w:noWrap w:val="0"/>
            <w:vAlign w:val="center"/>
          </w:tcPr>
          <w:p>
            <w:pPr>
              <w:widowControl/>
              <w:jc w:val="right"/>
              <w:rPr>
                <w:rFonts w:ascii="宋体" w:eastAsia="宋体" w:hAnsi="宋体" w:cs="宋体"/>
                <w:color w:val="auto"/>
                <w:kern w:val="0"/>
                <w:sz w:val="22"/>
                <w:szCs w:val="22"/>
                <w:lang w:bidi="zh-CN"/>
              </w:rPr>
            </w:pPr>
          </w:p>
        </w:tc>
      </w:tr>
    </w:tbl>
    <w:p>
      <w:pPr>
        <w:ind w:firstLine="420" w:firstLineChars="200"/>
        <w:rPr>
          <w:rFonts w:ascii="黑体" w:eastAsia="黑体" w:hAnsi="黑体" w:hint="eastAsia"/>
          <w:color w:val="auto"/>
          <w:szCs w:val="32"/>
        </w:rPr>
      </w:pPr>
    </w:p>
    <w:p>
      <w:pPr>
        <w:jc w:val="both"/>
        <w:rPr>
          <w:rFonts w:ascii="黑体" w:eastAsia="黑体" w:hAnsi="黑体" w:hint="eastAsia"/>
          <w:color w:val="auto"/>
          <w:sz w:val="32"/>
          <w:szCs w:val="32"/>
          <w:lang w:val="en-US" w:eastAsia="zh-CN"/>
        </w:rPr>
      </w:pPr>
    </w:p>
    <w:p>
      <w:pPr>
        <w:ind w:firstLine="640" w:firstLineChars="200"/>
        <w:jc w:val="center"/>
        <w:rPr>
          <w:rFonts w:ascii="黑体" w:eastAsia="黑体" w:hAnsi="黑体" w:hint="eastAsia"/>
          <w:sz w:val="32"/>
          <w:szCs w:val="32"/>
        </w:rPr>
      </w:pPr>
      <w:r>
        <w:rPr>
          <w:rFonts w:ascii="黑体" w:eastAsia="黑体" w:hAnsi="黑体" w:hint="eastAsia"/>
          <w:sz w:val="32"/>
          <w:szCs w:val="32"/>
          <w:lang w:val="en-US" w:eastAsia="zh-CN"/>
        </w:rPr>
        <w:t>三、</w:t>
      </w:r>
      <w:r>
        <w:rPr>
          <w:rFonts w:ascii="黑体" w:eastAsia="黑体" w:hAnsi="黑体" w:hint="eastAsia"/>
          <w:sz w:val="32"/>
          <w:szCs w:val="32"/>
        </w:rPr>
        <w:t>支出决算表</w:t>
      </w:r>
    </w:p>
    <w:tbl>
      <w:tblPr>
        <w:tblStyle w:val="TableNormal"/>
        <w:tblW w:w="9420" w:type="dxa"/>
        <w:tblInd w:w="93" w:type="dxa"/>
        <w:tblLayout w:type="fixed"/>
        <w:tblCellMar>
          <w:top w:w="15" w:type="dxa"/>
          <w:left w:w="108" w:type="dxa"/>
          <w:bottom w:w="15" w:type="dxa"/>
          <w:right w:w="108" w:type="dxa"/>
        </w:tblCellMar>
      </w:tblPr>
      <w:tblGrid>
        <w:gridCol w:w="685"/>
        <w:gridCol w:w="922"/>
        <w:gridCol w:w="922"/>
        <w:gridCol w:w="1273"/>
        <w:gridCol w:w="964"/>
        <w:gridCol w:w="936"/>
        <w:gridCol w:w="993"/>
        <w:gridCol w:w="823"/>
        <w:gridCol w:w="950"/>
        <w:gridCol w:w="952"/>
      </w:tblGrid>
      <w:tr>
        <w:tblPrEx>
          <w:tblW w:w="9420" w:type="dxa"/>
          <w:tblInd w:w="93" w:type="dxa"/>
          <w:tblLayout w:type="fixed"/>
        </w:tblPrEx>
        <w:trPr>
          <w:trHeight w:val="285"/>
        </w:trPr>
        <w:tc>
          <w:tcPr>
            <w:tcW w:w="685" w:type="dxa"/>
            <w:noWrap w:val="0"/>
            <w:vAlign w:val="bottom"/>
          </w:tcPr>
          <w:p>
            <w:pPr>
              <w:widowControl/>
              <w:jc w:val="left"/>
              <w:rPr>
                <w:rFonts w:ascii="Arial" w:eastAsia="宋体" w:hAnsi="Arial" w:cs="宋体"/>
                <w:color w:val="000000"/>
                <w:kern w:val="0"/>
                <w:sz w:val="20"/>
                <w:lang w:bidi="zh-CN"/>
              </w:rPr>
            </w:pPr>
          </w:p>
        </w:tc>
        <w:tc>
          <w:tcPr>
            <w:tcW w:w="922" w:type="dxa"/>
            <w:noWrap w:val="0"/>
            <w:vAlign w:val="bottom"/>
          </w:tcPr>
          <w:p>
            <w:pPr>
              <w:widowControl/>
              <w:jc w:val="left"/>
              <w:rPr>
                <w:rFonts w:ascii="Arial" w:eastAsia="宋体" w:hAnsi="Arial" w:cs="宋体"/>
                <w:color w:val="000000"/>
                <w:kern w:val="0"/>
                <w:sz w:val="20"/>
                <w:lang w:bidi="zh-CN"/>
              </w:rPr>
            </w:pPr>
          </w:p>
        </w:tc>
        <w:tc>
          <w:tcPr>
            <w:tcW w:w="922" w:type="dxa"/>
            <w:noWrap w:val="0"/>
            <w:vAlign w:val="bottom"/>
          </w:tcPr>
          <w:p>
            <w:pPr>
              <w:widowControl/>
              <w:jc w:val="left"/>
              <w:rPr>
                <w:rFonts w:ascii="Arial" w:eastAsia="宋体" w:hAnsi="Arial" w:cs="宋体"/>
                <w:color w:val="000000"/>
                <w:kern w:val="0"/>
                <w:sz w:val="20"/>
                <w:lang w:bidi="zh-CN"/>
              </w:rPr>
            </w:pPr>
          </w:p>
        </w:tc>
        <w:tc>
          <w:tcPr>
            <w:tcW w:w="1273" w:type="dxa"/>
            <w:noWrap w:val="0"/>
            <w:vAlign w:val="bottom"/>
          </w:tcPr>
          <w:p>
            <w:pPr>
              <w:widowControl/>
              <w:jc w:val="left"/>
              <w:rPr>
                <w:rFonts w:ascii="Arial" w:eastAsia="宋体" w:hAnsi="Arial" w:cs="宋体"/>
                <w:color w:val="000000"/>
                <w:kern w:val="0"/>
                <w:sz w:val="20"/>
                <w:lang w:bidi="zh-CN"/>
              </w:rPr>
            </w:pPr>
          </w:p>
        </w:tc>
        <w:tc>
          <w:tcPr>
            <w:tcW w:w="964" w:type="dxa"/>
            <w:noWrap w:val="0"/>
            <w:vAlign w:val="bottom"/>
          </w:tcPr>
          <w:p>
            <w:pPr>
              <w:widowControl/>
              <w:jc w:val="left"/>
              <w:rPr>
                <w:rFonts w:ascii="Arial" w:eastAsia="宋体" w:hAnsi="Arial" w:cs="宋体"/>
                <w:color w:val="000000"/>
                <w:kern w:val="0"/>
                <w:sz w:val="20"/>
                <w:lang w:bidi="zh-CN"/>
              </w:rPr>
            </w:pPr>
          </w:p>
        </w:tc>
        <w:tc>
          <w:tcPr>
            <w:tcW w:w="936" w:type="dxa"/>
            <w:noWrap w:val="0"/>
            <w:vAlign w:val="bottom"/>
          </w:tcPr>
          <w:p>
            <w:pPr>
              <w:widowControl/>
              <w:jc w:val="left"/>
              <w:rPr>
                <w:rFonts w:ascii="Arial" w:eastAsia="宋体" w:hAnsi="Arial" w:cs="宋体"/>
                <w:color w:val="000000"/>
                <w:kern w:val="0"/>
                <w:sz w:val="20"/>
                <w:lang w:bidi="zh-CN"/>
              </w:rPr>
            </w:pPr>
          </w:p>
        </w:tc>
        <w:tc>
          <w:tcPr>
            <w:tcW w:w="993" w:type="dxa"/>
            <w:noWrap w:val="0"/>
            <w:vAlign w:val="bottom"/>
          </w:tcPr>
          <w:p>
            <w:pPr>
              <w:widowControl/>
              <w:jc w:val="left"/>
              <w:rPr>
                <w:rFonts w:ascii="Arial" w:eastAsia="宋体" w:hAnsi="Arial" w:cs="宋体"/>
                <w:color w:val="000000"/>
                <w:kern w:val="0"/>
                <w:sz w:val="20"/>
                <w:lang w:bidi="zh-CN"/>
              </w:rPr>
            </w:pPr>
          </w:p>
        </w:tc>
        <w:tc>
          <w:tcPr>
            <w:tcW w:w="823" w:type="dxa"/>
            <w:noWrap w:val="0"/>
            <w:vAlign w:val="bottom"/>
          </w:tcPr>
          <w:p>
            <w:pPr>
              <w:widowControl/>
              <w:jc w:val="left"/>
              <w:rPr>
                <w:rFonts w:ascii="Arial" w:eastAsia="宋体" w:hAnsi="Arial" w:cs="宋体"/>
                <w:color w:val="000000"/>
                <w:kern w:val="0"/>
                <w:sz w:val="20"/>
                <w:lang w:bidi="zh-CN"/>
              </w:rPr>
            </w:pPr>
          </w:p>
        </w:tc>
        <w:tc>
          <w:tcPr>
            <w:tcW w:w="1902" w:type="dxa"/>
            <w:gridSpan w:val="2"/>
            <w:noWrap w:val="0"/>
            <w:vAlign w:val="bottom"/>
          </w:tcPr>
          <w:p>
            <w:pPr>
              <w:widowControl/>
              <w:jc w:val="right"/>
              <w:rPr>
                <w:rFonts w:ascii="宋体" w:eastAsia="宋体" w:hAnsi="宋体" w:cs="宋体"/>
                <w:color w:val="000000"/>
                <w:kern w:val="0"/>
                <w:sz w:val="20"/>
                <w:lang w:bidi="zh-CN"/>
              </w:rPr>
            </w:pPr>
            <w:r>
              <w:rPr>
                <w:rFonts w:ascii="宋体" w:eastAsia="宋体" w:hAnsi="宋体" w:cs="宋体" w:hint="eastAsia"/>
                <w:color w:val="000000"/>
                <w:kern w:val="0"/>
                <w:sz w:val="20"/>
                <w:lang w:bidi="zh-CN"/>
              </w:rPr>
              <w:t>公开03表</w:t>
            </w:r>
          </w:p>
        </w:tc>
      </w:tr>
      <w:tr>
        <w:tblPrEx>
          <w:tblW w:w="9420" w:type="dxa"/>
          <w:tblInd w:w="93" w:type="dxa"/>
          <w:tblLayout w:type="fixed"/>
        </w:tblPrEx>
        <w:trPr>
          <w:trHeight w:val="300"/>
        </w:trPr>
        <w:tc>
          <w:tcPr>
            <w:tcW w:w="1607" w:type="dxa"/>
            <w:gridSpan w:val="2"/>
            <w:noWrap w:val="0"/>
            <w:vAlign w:val="bottom"/>
          </w:tcPr>
          <w:p>
            <w:pPr>
              <w:widowControl/>
              <w:jc w:val="left"/>
              <w:rPr>
                <w:rFonts w:ascii="Arial" w:eastAsia="宋体" w:hAnsi="Arial" w:cs="宋体"/>
                <w:color w:val="000000"/>
                <w:kern w:val="0"/>
                <w:sz w:val="20"/>
                <w:lang w:bidi="zh-CN"/>
              </w:rPr>
            </w:pPr>
            <w:r>
              <w:rPr>
                <w:rFonts w:ascii="宋体" w:eastAsia="宋体" w:hAnsi="宋体" w:cs="宋体" w:hint="eastAsia"/>
                <w:color w:val="000000"/>
                <w:kern w:val="0"/>
                <w:sz w:val="20"/>
              </w:rPr>
              <w:t>部门：</w:t>
            </w:r>
          </w:p>
        </w:tc>
        <w:tc>
          <w:tcPr>
            <w:tcW w:w="922" w:type="dxa"/>
            <w:noWrap w:val="0"/>
            <w:vAlign w:val="bottom"/>
          </w:tcPr>
          <w:p>
            <w:pPr>
              <w:widowControl/>
              <w:jc w:val="left"/>
              <w:rPr>
                <w:rFonts w:ascii="Arial" w:eastAsia="宋体" w:hAnsi="Arial" w:cs="宋体"/>
                <w:color w:val="000000"/>
                <w:kern w:val="0"/>
                <w:sz w:val="20"/>
                <w:lang w:bidi="zh-CN"/>
              </w:rPr>
            </w:pPr>
          </w:p>
        </w:tc>
        <w:tc>
          <w:tcPr>
            <w:tcW w:w="1273" w:type="dxa"/>
            <w:noWrap w:val="0"/>
            <w:vAlign w:val="bottom"/>
          </w:tcPr>
          <w:p>
            <w:pPr>
              <w:widowControl/>
              <w:jc w:val="left"/>
              <w:rPr>
                <w:rFonts w:ascii="Arial" w:eastAsia="宋体" w:hAnsi="Arial" w:cs="宋体"/>
                <w:color w:val="000000"/>
                <w:kern w:val="0"/>
                <w:sz w:val="20"/>
                <w:lang w:bidi="zh-CN"/>
              </w:rPr>
            </w:pPr>
          </w:p>
        </w:tc>
        <w:tc>
          <w:tcPr>
            <w:tcW w:w="964" w:type="dxa"/>
            <w:noWrap w:val="0"/>
            <w:vAlign w:val="bottom"/>
          </w:tcPr>
          <w:p>
            <w:pPr>
              <w:widowControl/>
              <w:jc w:val="left"/>
              <w:rPr>
                <w:rFonts w:ascii="Arial" w:eastAsia="宋体" w:hAnsi="Arial" w:cs="宋体"/>
                <w:color w:val="000000"/>
                <w:kern w:val="0"/>
                <w:sz w:val="20"/>
                <w:lang w:bidi="zh-CN"/>
              </w:rPr>
            </w:pPr>
          </w:p>
        </w:tc>
        <w:tc>
          <w:tcPr>
            <w:tcW w:w="936" w:type="dxa"/>
            <w:noWrap w:val="0"/>
            <w:vAlign w:val="bottom"/>
          </w:tcPr>
          <w:p>
            <w:pPr>
              <w:widowControl/>
              <w:jc w:val="center"/>
              <w:rPr>
                <w:rFonts w:ascii="宋体" w:eastAsia="宋体" w:hAnsi="宋体" w:cs="宋体"/>
                <w:color w:val="000000"/>
                <w:kern w:val="0"/>
                <w:sz w:val="24"/>
                <w:szCs w:val="24"/>
                <w:lang w:bidi="zh-CN"/>
              </w:rPr>
            </w:pPr>
          </w:p>
        </w:tc>
        <w:tc>
          <w:tcPr>
            <w:tcW w:w="993" w:type="dxa"/>
            <w:noWrap w:val="0"/>
            <w:vAlign w:val="bottom"/>
          </w:tcPr>
          <w:p>
            <w:pPr>
              <w:widowControl/>
              <w:jc w:val="left"/>
              <w:rPr>
                <w:rFonts w:ascii="Arial" w:eastAsia="宋体" w:hAnsi="Arial" w:cs="宋体"/>
                <w:color w:val="000000"/>
                <w:kern w:val="0"/>
                <w:sz w:val="20"/>
                <w:lang w:bidi="zh-CN"/>
              </w:rPr>
            </w:pPr>
          </w:p>
        </w:tc>
        <w:tc>
          <w:tcPr>
            <w:tcW w:w="823" w:type="dxa"/>
            <w:noWrap w:val="0"/>
            <w:vAlign w:val="bottom"/>
          </w:tcPr>
          <w:p>
            <w:pPr>
              <w:widowControl/>
              <w:jc w:val="left"/>
              <w:rPr>
                <w:rFonts w:ascii="Arial" w:eastAsia="宋体" w:hAnsi="Arial" w:cs="宋体"/>
                <w:color w:val="000000"/>
                <w:kern w:val="0"/>
                <w:sz w:val="20"/>
                <w:lang w:bidi="zh-CN"/>
              </w:rPr>
            </w:pPr>
          </w:p>
        </w:tc>
        <w:tc>
          <w:tcPr>
            <w:tcW w:w="1902" w:type="dxa"/>
            <w:gridSpan w:val="2"/>
            <w:noWrap w:val="0"/>
            <w:vAlign w:val="bottom"/>
          </w:tcPr>
          <w:p>
            <w:pPr>
              <w:widowControl/>
              <w:jc w:val="right"/>
              <w:rPr>
                <w:rFonts w:ascii="宋体" w:eastAsia="宋体" w:hAnsi="宋体" w:cs="宋体"/>
                <w:color w:val="000000"/>
                <w:kern w:val="0"/>
                <w:sz w:val="20"/>
                <w:lang w:bidi="zh-CN"/>
              </w:rPr>
            </w:pPr>
            <w:r>
              <w:rPr>
                <w:rFonts w:ascii="宋体" w:eastAsia="宋体" w:hAnsi="宋体" w:cs="宋体" w:hint="eastAsia"/>
                <w:color w:val="000000"/>
                <w:kern w:val="0"/>
                <w:sz w:val="20"/>
                <w:lang w:bidi="zh-CN"/>
              </w:rPr>
              <w:t>金额单位：万元</w:t>
            </w:r>
          </w:p>
        </w:tc>
      </w:tr>
      <w:tr>
        <w:tblPrEx>
          <w:tblW w:w="9420" w:type="dxa"/>
          <w:tblInd w:w="93" w:type="dxa"/>
          <w:tblLayout w:type="fixed"/>
        </w:tblPrEx>
        <w:trPr>
          <w:trHeight w:val="450"/>
        </w:trPr>
        <w:tc>
          <w:tcPr>
            <w:tcW w:w="3802" w:type="dxa"/>
            <w:gridSpan w:val="4"/>
            <w:tcBorders>
              <w:top w:val="single" w:sz="12" w:space="0" w:color="000000"/>
              <w:left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项目</w:t>
            </w:r>
          </w:p>
        </w:tc>
        <w:tc>
          <w:tcPr>
            <w:tcW w:w="964" w:type="dxa"/>
            <w:vMerge w:val="restart"/>
            <w:tcBorders>
              <w:top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本年支出合计</w:t>
            </w:r>
          </w:p>
        </w:tc>
        <w:tc>
          <w:tcPr>
            <w:tcW w:w="936" w:type="dxa"/>
            <w:vMerge w:val="restart"/>
            <w:tcBorders>
              <w:top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基本支出</w:t>
            </w:r>
          </w:p>
        </w:tc>
        <w:tc>
          <w:tcPr>
            <w:tcW w:w="993" w:type="dxa"/>
            <w:vMerge w:val="restart"/>
            <w:tcBorders>
              <w:top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项目支出</w:t>
            </w:r>
          </w:p>
        </w:tc>
        <w:tc>
          <w:tcPr>
            <w:tcW w:w="823" w:type="dxa"/>
            <w:vMerge w:val="restart"/>
            <w:tcBorders>
              <w:top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上缴上级支出</w:t>
            </w:r>
          </w:p>
        </w:tc>
        <w:tc>
          <w:tcPr>
            <w:tcW w:w="950" w:type="dxa"/>
            <w:vMerge w:val="restart"/>
            <w:tcBorders>
              <w:top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经营支出</w:t>
            </w:r>
          </w:p>
        </w:tc>
        <w:tc>
          <w:tcPr>
            <w:tcW w:w="952" w:type="dxa"/>
            <w:vMerge w:val="restart"/>
            <w:tcBorders>
              <w:top w:val="single" w:sz="12" w:space="0" w:color="000000"/>
              <w:bottom w:val="single" w:sz="4" w:space="0" w:color="000000"/>
              <w:right w:val="single" w:sz="12"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对附属单位补助支出</w:t>
            </w:r>
          </w:p>
        </w:tc>
      </w:tr>
      <w:tr>
        <w:tblPrEx>
          <w:tblW w:w="9420" w:type="dxa"/>
          <w:tblInd w:w="93" w:type="dxa"/>
          <w:tblLayout w:type="fixed"/>
        </w:tblPrEx>
        <w:trPr>
          <w:trHeight w:val="975"/>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支出功能分类科目编码</w:t>
            </w:r>
          </w:p>
        </w:tc>
        <w:tc>
          <w:tcPr>
            <w:tcW w:w="1273" w:type="dxa"/>
            <w:tcBorders>
              <w:top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科目名称</w:t>
            </w:r>
          </w:p>
        </w:tc>
        <w:tc>
          <w:tcPr>
            <w:tcW w:w="964" w:type="dxa"/>
            <w:vMerge/>
            <w:tcBorders>
              <w:top w:val="single" w:sz="12" w:space="0" w:color="000000"/>
              <w:bottom w:val="single" w:sz="4" w:space="0" w:color="000000"/>
              <w:right w:val="single" w:sz="4" w:space="0" w:color="000000"/>
            </w:tcBorders>
            <w:noWrap w:val="0"/>
            <w:vAlign w:val="center"/>
          </w:tcPr>
          <w:p>
            <w:pPr>
              <w:widowControl/>
              <w:jc w:val="left"/>
              <w:rPr>
                <w:rFonts w:ascii="宋体" w:eastAsia="宋体" w:hAnsi="宋体" w:cs="宋体"/>
                <w:color w:val="000000"/>
                <w:kern w:val="0"/>
                <w:sz w:val="22"/>
                <w:szCs w:val="22"/>
                <w:lang w:bidi="zh-CN"/>
              </w:rPr>
            </w:pPr>
          </w:p>
        </w:tc>
        <w:tc>
          <w:tcPr>
            <w:tcW w:w="936" w:type="dxa"/>
            <w:vMerge/>
            <w:tcBorders>
              <w:top w:val="single" w:sz="12" w:space="0" w:color="000000"/>
              <w:bottom w:val="single" w:sz="4" w:space="0" w:color="000000"/>
              <w:right w:val="single" w:sz="4" w:space="0" w:color="000000"/>
            </w:tcBorders>
            <w:noWrap w:val="0"/>
            <w:vAlign w:val="center"/>
          </w:tcPr>
          <w:p>
            <w:pPr>
              <w:widowControl/>
              <w:jc w:val="left"/>
              <w:rPr>
                <w:rFonts w:ascii="宋体" w:eastAsia="宋体" w:hAnsi="宋体" w:cs="宋体"/>
                <w:color w:val="000000"/>
                <w:kern w:val="0"/>
                <w:sz w:val="22"/>
                <w:szCs w:val="22"/>
                <w:lang w:bidi="zh-CN"/>
              </w:rPr>
            </w:pPr>
          </w:p>
        </w:tc>
        <w:tc>
          <w:tcPr>
            <w:tcW w:w="993" w:type="dxa"/>
            <w:vMerge/>
            <w:tcBorders>
              <w:top w:val="single" w:sz="12" w:space="0" w:color="000000"/>
              <w:bottom w:val="single" w:sz="4" w:space="0" w:color="000000"/>
              <w:right w:val="single" w:sz="4" w:space="0" w:color="000000"/>
            </w:tcBorders>
            <w:noWrap w:val="0"/>
            <w:vAlign w:val="center"/>
          </w:tcPr>
          <w:p>
            <w:pPr>
              <w:widowControl/>
              <w:jc w:val="left"/>
              <w:rPr>
                <w:rFonts w:ascii="宋体" w:eastAsia="宋体" w:hAnsi="宋体" w:cs="宋体"/>
                <w:color w:val="000000"/>
                <w:kern w:val="0"/>
                <w:sz w:val="22"/>
                <w:szCs w:val="22"/>
                <w:lang w:bidi="zh-CN"/>
              </w:rPr>
            </w:pPr>
          </w:p>
        </w:tc>
        <w:tc>
          <w:tcPr>
            <w:tcW w:w="823" w:type="dxa"/>
            <w:vMerge/>
            <w:tcBorders>
              <w:top w:val="single" w:sz="12" w:space="0" w:color="000000"/>
              <w:bottom w:val="single" w:sz="4" w:space="0" w:color="000000"/>
              <w:right w:val="single" w:sz="4" w:space="0" w:color="000000"/>
            </w:tcBorders>
            <w:noWrap w:val="0"/>
            <w:vAlign w:val="center"/>
          </w:tcPr>
          <w:p>
            <w:pPr>
              <w:widowControl/>
              <w:jc w:val="left"/>
              <w:rPr>
                <w:rFonts w:ascii="宋体" w:eastAsia="宋体" w:hAnsi="宋体" w:cs="宋体"/>
                <w:color w:val="000000"/>
                <w:kern w:val="0"/>
                <w:sz w:val="22"/>
                <w:szCs w:val="22"/>
                <w:lang w:bidi="zh-CN"/>
              </w:rPr>
            </w:pPr>
          </w:p>
        </w:tc>
        <w:tc>
          <w:tcPr>
            <w:tcW w:w="950" w:type="dxa"/>
            <w:vMerge/>
            <w:tcBorders>
              <w:top w:val="single" w:sz="12" w:space="0" w:color="000000"/>
              <w:bottom w:val="single" w:sz="4" w:space="0" w:color="000000"/>
              <w:right w:val="single" w:sz="4" w:space="0" w:color="000000"/>
            </w:tcBorders>
            <w:noWrap w:val="0"/>
            <w:vAlign w:val="center"/>
          </w:tcPr>
          <w:p>
            <w:pPr>
              <w:widowControl/>
              <w:jc w:val="left"/>
              <w:rPr>
                <w:rFonts w:ascii="宋体" w:eastAsia="宋体" w:hAnsi="宋体" w:cs="宋体"/>
                <w:color w:val="000000"/>
                <w:kern w:val="0"/>
                <w:sz w:val="22"/>
                <w:szCs w:val="22"/>
                <w:lang w:bidi="zh-CN"/>
              </w:rPr>
            </w:pPr>
          </w:p>
        </w:tc>
        <w:tc>
          <w:tcPr>
            <w:tcW w:w="952" w:type="dxa"/>
            <w:vMerge/>
            <w:tcBorders>
              <w:top w:val="single" w:sz="12" w:space="0" w:color="000000"/>
              <w:bottom w:val="single" w:sz="4" w:space="0" w:color="000000"/>
              <w:right w:val="single" w:sz="12" w:space="0" w:color="000000"/>
            </w:tcBorders>
            <w:noWrap w:val="0"/>
            <w:vAlign w:val="center"/>
          </w:tcPr>
          <w:p>
            <w:pPr>
              <w:widowControl/>
              <w:jc w:val="lef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685" w:type="dxa"/>
            <w:tcBorders>
              <w:top w:val="single" w:sz="4" w:space="0" w:color="000000"/>
              <w:left w:val="single" w:sz="12"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类</w:t>
            </w:r>
          </w:p>
        </w:tc>
        <w:tc>
          <w:tcPr>
            <w:tcW w:w="922" w:type="dxa"/>
            <w:tcBorders>
              <w:top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款</w:t>
            </w:r>
          </w:p>
        </w:tc>
        <w:tc>
          <w:tcPr>
            <w:tcW w:w="922" w:type="dxa"/>
            <w:tcBorders>
              <w:top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项</w:t>
            </w:r>
          </w:p>
        </w:tc>
        <w:tc>
          <w:tcPr>
            <w:tcW w:w="1273" w:type="dxa"/>
            <w:tcBorders>
              <w:top w:val="single" w:sz="4" w:space="0" w:color="000000"/>
              <w:bottom w:val="single" w:sz="4" w:space="0" w:color="000000"/>
              <w:right w:val="single" w:sz="4" w:space="0" w:color="000000"/>
            </w:tcBorders>
            <w:noWrap w:val="0"/>
            <w:vAlign w:val="center"/>
          </w:tcPr>
          <w:p>
            <w:pPr>
              <w:widowControl/>
              <w:jc w:val="center"/>
              <w:rPr>
                <w:rFonts w:ascii="宋体" w:eastAsia="宋体" w:hAnsi="宋体" w:cs="宋体"/>
                <w:color w:val="000000"/>
                <w:kern w:val="0"/>
                <w:sz w:val="22"/>
                <w:szCs w:val="22"/>
                <w:lang w:bidi="zh-CN"/>
              </w:rPr>
            </w:pPr>
            <w:r>
              <w:rPr>
                <w:rFonts w:ascii="宋体" w:eastAsia="宋体" w:hAnsi="宋体" w:cs="宋体" w:hint="eastAsia"/>
                <w:color w:val="000000"/>
                <w:kern w:val="0"/>
                <w:sz w:val="22"/>
                <w:szCs w:val="22"/>
                <w:lang w:bidi="zh-CN"/>
              </w:rPr>
              <w:t>合计</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b/>
                <w:bCs/>
                <w:i w:val="0"/>
                <w:iCs w:val="0"/>
                <w:color w:val="000000"/>
                <w:kern w:val="0"/>
                <w:sz w:val="22"/>
                <w:szCs w:val="22"/>
                <w:u w:val="none"/>
                <w:lang w:val="en-US" w:eastAsia="zh-CN" w:bidi="ar"/>
              </w:rPr>
              <w:t>428.68</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b/>
                <w:bCs/>
                <w:i w:val="0"/>
                <w:iCs w:val="0"/>
                <w:color w:val="000000"/>
                <w:kern w:val="0"/>
                <w:sz w:val="22"/>
                <w:szCs w:val="22"/>
                <w:u w:val="none"/>
                <w:lang w:val="en-US" w:eastAsia="zh-CN" w:bidi="ar"/>
              </w:rPr>
              <w:t>239.97</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b/>
                <w:bCs/>
                <w:i w:val="0"/>
                <w:iCs w:val="0"/>
                <w:color w:val="000000"/>
                <w:kern w:val="0"/>
                <w:sz w:val="22"/>
                <w:szCs w:val="22"/>
                <w:u w:val="none"/>
                <w:lang w:val="en-US" w:eastAsia="zh-CN" w:bidi="ar"/>
              </w:rPr>
              <w:t>188.72</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一般公共服务支出</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374.95</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186.23</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188.72</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20126</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档案事务</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374.95</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186.23</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188.72</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2012601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 xml:space="preserve">  行政运行</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40.67</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40.67</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2012604</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 xml:space="preserve">  档案馆</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334.29</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145.57</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188.72</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208</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社会保障和就业支出</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36.09</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36.09</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20805</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行政事业单位养老支出</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13.32</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13.32</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2080501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 xml:space="preserve">  行政单位离退休</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0.38</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0.38</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2080505</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 xml:space="preserve">  机关事业单位基本养老保险缴费支出</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12.94</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12.94</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20808</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抚恤</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22.77</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22.77</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2080801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 xml:space="preserve">  死亡抚恤</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22.77</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22.77</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210</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卫生健康支出</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8.28</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8.28</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21011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行政事业单位医疗</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8.28</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8.28</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2101101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 xml:space="preserve">  行政单位医疗</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8.28</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8.28</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221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住房保障支出</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9.36</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9.36</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22102</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住房改革支出</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9.36</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9.36</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r>
        <w:tblPrEx>
          <w:tblW w:w="9420" w:type="dxa"/>
          <w:tblInd w:w="93" w:type="dxa"/>
          <w:tblLayout w:type="fixed"/>
        </w:tblPrEx>
        <w:trPr>
          <w:trHeight w:val="450"/>
        </w:trPr>
        <w:tc>
          <w:tcPr>
            <w:tcW w:w="2529" w:type="dxa"/>
            <w:gridSpan w:val="3"/>
            <w:tcBorders>
              <w:top w:val="single" w:sz="4" w:space="0" w:color="000000"/>
              <w:left w:val="single" w:sz="12"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2210201</w:t>
            </w:r>
          </w:p>
        </w:tc>
        <w:tc>
          <w:tcPr>
            <w:tcW w:w="127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 xml:space="preserve">  住房公积金</w:t>
            </w:r>
          </w:p>
        </w:tc>
        <w:tc>
          <w:tcPr>
            <w:tcW w:w="964"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9.36</w:t>
            </w:r>
          </w:p>
        </w:tc>
        <w:tc>
          <w:tcPr>
            <w:tcW w:w="936"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9.36</w:t>
            </w:r>
          </w:p>
        </w:tc>
        <w:tc>
          <w:tcPr>
            <w:tcW w:w="993" w:type="dxa"/>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lang w:bidi="zh-CN"/>
              </w:rPr>
            </w:pPr>
            <w:r>
              <w:rPr>
                <w:rFonts w:ascii="宋体" w:eastAsia="宋体" w:hAnsi="宋体" w:cs="宋体" w:hint="eastAsia"/>
                <w:i w:val="0"/>
                <w:iCs w:val="0"/>
                <w:color w:val="000000"/>
                <w:kern w:val="0"/>
                <w:sz w:val="22"/>
                <w:szCs w:val="22"/>
                <w:u w:val="none"/>
                <w:lang w:val="en-US" w:eastAsia="zh-CN" w:bidi="ar"/>
              </w:rPr>
              <w:t>0.00</w:t>
            </w:r>
          </w:p>
        </w:tc>
        <w:tc>
          <w:tcPr>
            <w:tcW w:w="823"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0" w:type="dxa"/>
            <w:tcBorders>
              <w:top w:val="single" w:sz="4" w:space="0" w:color="000000"/>
              <w:bottom w:val="single" w:sz="4" w:space="0" w:color="000000"/>
              <w:right w:val="single" w:sz="4" w:space="0" w:color="000000"/>
            </w:tcBorders>
            <w:noWrap w:val="0"/>
            <w:vAlign w:val="center"/>
          </w:tcPr>
          <w:p>
            <w:pPr>
              <w:widowControl/>
              <w:jc w:val="right"/>
              <w:rPr>
                <w:rFonts w:ascii="宋体" w:eastAsia="宋体" w:hAnsi="宋体" w:cs="宋体"/>
                <w:color w:val="000000"/>
                <w:kern w:val="0"/>
                <w:sz w:val="22"/>
                <w:szCs w:val="22"/>
                <w:lang w:bidi="zh-CN"/>
              </w:rPr>
            </w:pPr>
          </w:p>
        </w:tc>
        <w:tc>
          <w:tcPr>
            <w:tcW w:w="952" w:type="dxa"/>
            <w:tcBorders>
              <w:top w:val="single" w:sz="4" w:space="0" w:color="000000"/>
              <w:bottom w:val="single" w:sz="4" w:space="0" w:color="000000"/>
              <w:right w:val="single" w:sz="12" w:space="0" w:color="000000"/>
            </w:tcBorders>
            <w:noWrap w:val="0"/>
            <w:vAlign w:val="center"/>
          </w:tcPr>
          <w:p>
            <w:pPr>
              <w:widowControl/>
              <w:jc w:val="right"/>
              <w:rPr>
                <w:rFonts w:ascii="宋体" w:eastAsia="宋体" w:hAnsi="宋体" w:cs="宋体"/>
                <w:color w:val="000000"/>
                <w:kern w:val="0"/>
                <w:sz w:val="22"/>
                <w:szCs w:val="22"/>
                <w:lang w:bidi="zh-CN"/>
              </w:rPr>
            </w:pPr>
          </w:p>
        </w:tc>
      </w:tr>
    </w:tbl>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420" w:firstLineChars="200"/>
        <w:rPr>
          <w:rFonts w:ascii="黑体" w:eastAsia="黑体" w:hAnsi="黑体" w:hint="eastAsia"/>
          <w:szCs w:val="32"/>
        </w:rPr>
      </w:pPr>
    </w:p>
    <w:p>
      <w:pPr>
        <w:ind w:firstLine="640" w:firstLineChars="200"/>
        <w:jc w:val="center"/>
        <w:rPr>
          <w:rFonts w:ascii="黑体" w:eastAsia="黑体" w:hAnsi="黑体" w:hint="eastAsia"/>
          <w:sz w:val="32"/>
          <w:szCs w:val="32"/>
          <w:lang w:val="en-US" w:eastAsia="zh-CN"/>
        </w:rPr>
      </w:pPr>
    </w:p>
    <w:p>
      <w:pPr>
        <w:ind w:firstLine="640" w:firstLineChars="200"/>
        <w:jc w:val="center"/>
        <w:rPr>
          <w:rFonts w:ascii="黑体" w:eastAsia="黑体" w:hAnsi="黑体" w:hint="eastAsia"/>
          <w:sz w:val="32"/>
          <w:szCs w:val="32"/>
        </w:rPr>
      </w:pPr>
      <w:r>
        <w:rPr>
          <w:rFonts w:ascii="黑体" w:eastAsia="黑体" w:hAnsi="黑体" w:hint="eastAsia"/>
          <w:sz w:val="32"/>
          <w:szCs w:val="32"/>
          <w:lang w:val="en-US" w:eastAsia="zh-CN"/>
        </w:rPr>
        <w:t>四、</w:t>
      </w:r>
      <w:r>
        <w:rPr>
          <w:rFonts w:ascii="黑体" w:eastAsia="黑体" w:hAnsi="黑体" w:hint="eastAsia"/>
          <w:sz w:val="32"/>
          <w:szCs w:val="32"/>
        </w:rPr>
        <w:t>财政拨款收入支出决算总表</w:t>
      </w:r>
    </w:p>
    <w:tbl>
      <w:tblPr>
        <w:tblStyle w:val="TableNormal"/>
        <w:tblW w:w="9795" w:type="dxa"/>
        <w:tblInd w:w="93" w:type="dxa"/>
        <w:tblLayout w:type="fixed"/>
        <w:tblCellMar>
          <w:top w:w="15" w:type="dxa"/>
          <w:left w:w="108" w:type="dxa"/>
          <w:bottom w:w="15" w:type="dxa"/>
          <w:right w:w="108" w:type="dxa"/>
        </w:tblCellMar>
      </w:tblPr>
      <w:tblGrid>
        <w:gridCol w:w="2454"/>
        <w:gridCol w:w="989"/>
        <w:gridCol w:w="328"/>
        <w:gridCol w:w="1172"/>
        <w:gridCol w:w="397"/>
        <w:gridCol w:w="893"/>
        <w:gridCol w:w="1230"/>
        <w:gridCol w:w="1110"/>
        <w:gridCol w:w="1222"/>
      </w:tblGrid>
      <w:tr>
        <w:tblPrEx>
          <w:tblW w:w="9795" w:type="dxa"/>
          <w:tblInd w:w="93" w:type="dxa"/>
          <w:tblLayout w:type="fixed"/>
        </w:tblPrEx>
        <w:trPr>
          <w:trHeight w:val="285"/>
        </w:trPr>
        <w:tc>
          <w:tcPr>
            <w:tcW w:w="2454" w:type="dxa"/>
            <w:noWrap w:val="0"/>
            <w:vAlign w:val="bottom"/>
          </w:tcPr>
          <w:p>
            <w:pPr>
              <w:jc w:val="left"/>
              <w:rPr>
                <w:rFonts w:ascii="Arial" w:eastAsia="宋体" w:hAnsi="Arial" w:cs="宋体"/>
                <w:kern w:val="0"/>
                <w:sz w:val="20"/>
              </w:rPr>
            </w:pPr>
          </w:p>
        </w:tc>
        <w:tc>
          <w:tcPr>
            <w:tcW w:w="1317" w:type="dxa"/>
            <w:gridSpan w:val="2"/>
            <w:noWrap w:val="0"/>
            <w:vAlign w:val="bottom"/>
          </w:tcPr>
          <w:p>
            <w:pPr>
              <w:jc w:val="left"/>
              <w:rPr>
                <w:rFonts w:ascii="Arial" w:eastAsia="宋体" w:hAnsi="Arial" w:cs="宋体"/>
                <w:color w:val="000000"/>
                <w:kern w:val="0"/>
                <w:sz w:val="20"/>
              </w:rPr>
            </w:pPr>
          </w:p>
        </w:tc>
        <w:tc>
          <w:tcPr>
            <w:tcW w:w="1569" w:type="dxa"/>
            <w:gridSpan w:val="2"/>
            <w:noWrap w:val="0"/>
            <w:vAlign w:val="bottom"/>
          </w:tcPr>
          <w:p>
            <w:pPr>
              <w:jc w:val="left"/>
              <w:rPr>
                <w:rFonts w:ascii="Arial" w:eastAsia="宋体" w:hAnsi="Arial" w:cs="宋体"/>
                <w:color w:val="000000"/>
                <w:kern w:val="0"/>
                <w:sz w:val="20"/>
              </w:rPr>
            </w:pPr>
          </w:p>
        </w:tc>
        <w:tc>
          <w:tcPr>
            <w:tcW w:w="4455" w:type="dxa"/>
            <w:gridSpan w:val="4"/>
            <w:noWrap w:val="0"/>
            <w:vAlign w:val="bottom"/>
          </w:tcPr>
          <w:p>
            <w:pPr>
              <w:keepNext w:val="0"/>
              <w:keepLines w:val="0"/>
              <w:widowControl/>
              <w:suppressLineNumbers w:val="0"/>
              <w:jc w:val="right"/>
              <w:textAlignment w:val="bottom"/>
              <w:rPr>
                <w:rFonts w:ascii="宋体" w:eastAsia="宋体" w:hAnsi="宋体" w:cs="宋体"/>
                <w:color w:val="000000"/>
                <w:kern w:val="0"/>
                <w:sz w:val="20"/>
              </w:rPr>
            </w:pPr>
            <w:r>
              <w:rPr>
                <w:rFonts w:ascii="宋体" w:eastAsia="宋体" w:hAnsi="宋体" w:cs="宋体" w:hint="eastAsia"/>
                <w:i w:val="0"/>
                <w:color w:val="000000"/>
                <w:kern w:val="0"/>
                <w:sz w:val="20"/>
                <w:szCs w:val="20"/>
                <w:u w:val="none"/>
                <w:lang w:val="en-US" w:eastAsia="zh-CN" w:bidi="ar"/>
              </w:rPr>
              <w:t>公开04表</w:t>
            </w:r>
          </w:p>
        </w:tc>
      </w:tr>
      <w:tr>
        <w:tblPrEx>
          <w:tblW w:w="9795" w:type="dxa"/>
          <w:tblInd w:w="93" w:type="dxa"/>
          <w:tblLayout w:type="fixed"/>
        </w:tblPrEx>
        <w:trPr>
          <w:trHeight w:val="270"/>
        </w:trPr>
        <w:tc>
          <w:tcPr>
            <w:tcW w:w="2454" w:type="dxa"/>
            <w:tcBorders>
              <w:bottom w:val="single" w:sz="4" w:space="0" w:color="auto"/>
            </w:tcBorders>
            <w:noWrap w:val="0"/>
            <w:vAlign w:val="bottom"/>
          </w:tcPr>
          <w:p>
            <w:pPr>
              <w:keepNext w:val="0"/>
              <w:keepLines w:val="0"/>
              <w:widowControl/>
              <w:suppressLineNumbers w:val="0"/>
              <w:jc w:val="left"/>
              <w:textAlignment w:val="bottom"/>
              <w:rPr>
                <w:rFonts w:ascii="宋体" w:eastAsia="宋体" w:hAnsi="宋体" w:cs="宋体"/>
                <w:kern w:val="0"/>
                <w:sz w:val="20"/>
              </w:rPr>
            </w:pPr>
            <w:r>
              <w:rPr>
                <w:rFonts w:ascii="宋体" w:eastAsia="宋体" w:hAnsi="宋体" w:cs="宋体" w:hint="eastAsia"/>
                <w:i w:val="0"/>
                <w:color w:val="000000"/>
                <w:kern w:val="0"/>
                <w:sz w:val="20"/>
                <w:szCs w:val="20"/>
                <w:u w:val="none"/>
                <w:lang w:val="en-US" w:eastAsia="zh-CN" w:bidi="ar"/>
              </w:rPr>
              <w:t>部门：</w:t>
            </w:r>
          </w:p>
        </w:tc>
        <w:tc>
          <w:tcPr>
            <w:tcW w:w="1317" w:type="dxa"/>
            <w:gridSpan w:val="2"/>
            <w:tcBorders>
              <w:bottom w:val="single" w:sz="4" w:space="0" w:color="auto"/>
            </w:tcBorders>
            <w:noWrap w:val="0"/>
            <w:vAlign w:val="bottom"/>
          </w:tcPr>
          <w:p>
            <w:pPr>
              <w:jc w:val="center"/>
              <w:rPr>
                <w:rFonts w:ascii="宋体" w:eastAsia="宋体" w:hAnsi="宋体" w:cs="宋体"/>
                <w:color w:val="000000"/>
                <w:kern w:val="0"/>
                <w:sz w:val="20"/>
              </w:rPr>
            </w:pPr>
          </w:p>
        </w:tc>
        <w:tc>
          <w:tcPr>
            <w:tcW w:w="1569" w:type="dxa"/>
            <w:gridSpan w:val="2"/>
            <w:tcBorders>
              <w:bottom w:val="single" w:sz="4" w:space="0" w:color="auto"/>
            </w:tcBorders>
            <w:noWrap w:val="0"/>
            <w:vAlign w:val="bottom"/>
          </w:tcPr>
          <w:p>
            <w:pPr>
              <w:jc w:val="left"/>
              <w:rPr>
                <w:rFonts w:ascii="Arial" w:eastAsia="宋体" w:hAnsi="Arial" w:cs="宋体"/>
                <w:color w:val="000000"/>
                <w:kern w:val="0"/>
                <w:sz w:val="20"/>
              </w:rPr>
            </w:pPr>
          </w:p>
        </w:tc>
        <w:tc>
          <w:tcPr>
            <w:tcW w:w="4455" w:type="dxa"/>
            <w:gridSpan w:val="4"/>
            <w:tcBorders>
              <w:bottom w:val="single" w:sz="4" w:space="0" w:color="auto"/>
            </w:tcBorders>
            <w:noWrap w:val="0"/>
            <w:vAlign w:val="bottom"/>
          </w:tcPr>
          <w:p>
            <w:pPr>
              <w:keepNext w:val="0"/>
              <w:keepLines w:val="0"/>
              <w:widowControl/>
              <w:suppressLineNumbers w:val="0"/>
              <w:jc w:val="right"/>
              <w:textAlignment w:val="bottom"/>
              <w:rPr>
                <w:rFonts w:ascii="宋体" w:eastAsia="宋体" w:hAnsi="宋体" w:cs="宋体"/>
                <w:color w:val="000000"/>
                <w:kern w:val="0"/>
                <w:sz w:val="20"/>
              </w:rPr>
            </w:pPr>
            <w:r>
              <w:rPr>
                <w:rFonts w:ascii="宋体" w:eastAsia="宋体" w:hAnsi="宋体" w:cs="宋体" w:hint="eastAsia"/>
                <w:i w:val="0"/>
                <w:color w:val="000000"/>
                <w:kern w:val="0"/>
                <w:sz w:val="20"/>
                <w:szCs w:val="20"/>
                <w:u w:val="none"/>
                <w:lang w:val="en-US" w:eastAsia="zh-CN" w:bidi="ar"/>
              </w:rPr>
              <w:t>金额单位：万元</w:t>
            </w:r>
          </w:p>
        </w:tc>
      </w:tr>
      <w:tr>
        <w:tblPrEx>
          <w:tblW w:w="9795" w:type="dxa"/>
          <w:tblInd w:w="93" w:type="dxa"/>
          <w:tblLayout w:type="fixed"/>
        </w:tblPrEx>
        <w:trPr>
          <w:trHeight w:val="300"/>
        </w:trPr>
        <w:tc>
          <w:tcPr>
            <w:tcW w:w="3443"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hint="eastAsia"/>
                <w:color w:val="000000"/>
                <w:kern w:val="0"/>
                <w:sz w:val="22"/>
                <w:szCs w:val="22"/>
              </w:rPr>
            </w:pPr>
            <w:r>
              <w:rPr>
                <w:rFonts w:ascii="宋体" w:eastAsia="宋体" w:hAnsi="宋体" w:cs="宋体" w:hint="eastAsia"/>
                <w:i w:val="0"/>
                <w:color w:val="000000"/>
                <w:kern w:val="0"/>
                <w:sz w:val="22"/>
                <w:szCs w:val="22"/>
                <w:u w:val="none"/>
                <w:lang w:val="en-US" w:eastAsia="zh-CN" w:bidi="ar"/>
              </w:rPr>
              <w:t>收     入</w:t>
            </w:r>
          </w:p>
        </w:tc>
        <w:tc>
          <w:tcPr>
            <w:tcW w:w="6352" w:type="dxa"/>
            <w:gridSpan w:val="7"/>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hint="eastAsia"/>
                <w:color w:val="000000"/>
                <w:kern w:val="0"/>
                <w:sz w:val="22"/>
                <w:szCs w:val="22"/>
              </w:rPr>
            </w:pPr>
            <w:r>
              <w:rPr>
                <w:rFonts w:ascii="宋体" w:eastAsia="宋体" w:hAnsi="宋体" w:cs="宋体" w:hint="eastAsia"/>
                <w:i w:val="0"/>
                <w:color w:val="000000"/>
                <w:kern w:val="0"/>
                <w:sz w:val="22"/>
                <w:szCs w:val="22"/>
                <w:u w:val="none"/>
                <w:lang w:val="en-US" w:eastAsia="zh-CN" w:bidi="ar"/>
              </w:rPr>
              <w:t>支     出</w:t>
            </w: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项目</w:t>
            </w:r>
          </w:p>
        </w:tc>
        <w:tc>
          <w:tcPr>
            <w:tcW w:w="989"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pPr>
            <w:r>
              <w:rPr>
                <w:rFonts w:ascii="宋体" w:eastAsia="宋体" w:hAnsi="宋体" w:cs="宋体" w:hint="eastAsia"/>
                <w:i w:val="0"/>
                <w:color w:val="000000"/>
                <w:kern w:val="0"/>
                <w:sz w:val="22"/>
                <w:szCs w:val="22"/>
                <w:u w:val="none"/>
                <w:lang w:val="en-US" w:eastAsia="zh-CN" w:bidi="ar"/>
              </w:rPr>
              <w:t>金额</w:t>
            </w: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项目</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小计</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一般公共预算财政拨款</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pPr>
            <w:r>
              <w:rPr>
                <w:rFonts w:ascii="宋体" w:eastAsia="宋体" w:hAnsi="宋体" w:cs="宋体" w:hint="eastAsia"/>
                <w:i w:val="0"/>
                <w:color w:val="000000"/>
                <w:kern w:val="0"/>
                <w:sz w:val="22"/>
                <w:szCs w:val="22"/>
                <w:u w:val="none"/>
                <w:lang w:val="en-US" w:eastAsia="zh-CN" w:bidi="ar"/>
              </w:rPr>
              <w:t>政府性基金预算财政拨款</w:t>
            </w:r>
          </w:p>
        </w:tc>
        <w:tc>
          <w:tcPr>
            <w:tcW w:w="122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国有资本经营预算财政拨款</w:t>
            </w: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栏次</w:t>
            </w:r>
          </w:p>
        </w:tc>
        <w:tc>
          <w:tcPr>
            <w:tcW w:w="989"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pPr>
            <w:r>
              <w:rPr>
                <w:rFonts w:ascii="宋体" w:eastAsia="宋体" w:hAnsi="宋体" w:cs="宋体" w:hint="eastAsia"/>
                <w:i w:val="0"/>
                <w:color w:val="000000"/>
                <w:kern w:val="0"/>
                <w:sz w:val="22"/>
                <w:szCs w:val="22"/>
                <w:u w:val="none"/>
                <w:lang w:val="en-US" w:eastAsia="zh-CN" w:bidi="ar"/>
              </w:rPr>
              <w:t>1</w:t>
            </w: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栏次</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2</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3</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pPr>
            <w:r>
              <w:rPr>
                <w:rFonts w:ascii="宋体" w:eastAsia="宋体" w:hAnsi="宋体" w:cs="宋体" w:hint="eastAsia"/>
                <w:i w:val="0"/>
                <w:color w:val="000000"/>
                <w:kern w:val="0"/>
                <w:sz w:val="22"/>
                <w:szCs w:val="22"/>
                <w:u w:val="none"/>
                <w:lang w:val="en-US" w:eastAsia="zh-CN" w:bidi="ar"/>
              </w:rPr>
              <w:t>4</w:t>
            </w:r>
          </w:p>
        </w:tc>
        <w:tc>
          <w:tcPr>
            <w:tcW w:w="122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0"/>
                <w:szCs w:val="20"/>
                <w:u w:val="none"/>
                <w:lang w:val="en-US" w:eastAsia="zh-CN" w:bidi="ar"/>
              </w:rPr>
              <w:t>5</w:t>
            </w: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一、一般公共预算财政拨款</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r>
              <w:rPr>
                <w:rFonts w:ascii="宋体" w:hAnsi="宋体" w:cs="宋体" w:hint="eastAsia"/>
                <w:i w:val="0"/>
                <w:color w:val="000000"/>
                <w:sz w:val="22"/>
                <w:szCs w:val="22"/>
                <w:u w:val="none"/>
                <w:lang w:val="en-US" w:eastAsia="zh-CN"/>
              </w:rPr>
              <w:t>428.68</w:t>
            </w: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一、一般公共服务支出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22"/>
                <w:szCs w:val="22"/>
                <w:u w:val="none"/>
                <w:lang w:val="en-US" w:eastAsia="zh-CN" w:bidi="ar"/>
              </w:rPr>
              <w:t>374.95</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22"/>
                <w:szCs w:val="22"/>
                <w:u w:val="none"/>
                <w:lang w:val="en-US" w:eastAsia="zh-CN" w:bidi="ar"/>
              </w:rPr>
              <w:t>374.95</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二、政府性基金预算财政拨款</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二、外交支出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三、国有资本经营预算财政拨款</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三、国防支出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四、公共安全支出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五、教育支出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六、科学技术支出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七、文化旅游体育与传媒支出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八、社会保障和就业支出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22"/>
                <w:szCs w:val="22"/>
                <w:u w:val="none"/>
                <w:lang w:val="en-US" w:eastAsia="zh-CN" w:bidi="ar"/>
              </w:rPr>
              <w:t>36.09</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22"/>
                <w:szCs w:val="22"/>
                <w:u w:val="none"/>
                <w:lang w:val="en-US" w:eastAsia="zh-CN" w:bidi="ar"/>
              </w:rPr>
              <w:t>36.09</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九、卫生健康支出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22"/>
                <w:szCs w:val="22"/>
                <w:u w:val="none"/>
                <w:lang w:val="en-US" w:eastAsia="zh-CN" w:bidi="ar"/>
              </w:rPr>
              <w:t>8.28</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22"/>
                <w:szCs w:val="22"/>
                <w:u w:val="none"/>
                <w:lang w:val="en-US" w:eastAsia="zh-CN" w:bidi="ar"/>
              </w:rPr>
              <w:t>8.28</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十、节能环保支出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十一、城乡社区支出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十二、农林水支出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十三、交通运输支出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十四、资源勘探工业信息等支出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十五、商业服务业等支出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十六、金融支出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十七、援助其他地区支出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十八、自然资源海洋气象等支出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十九、住房保障支出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r>
              <w:rPr>
                <w:rFonts w:ascii="宋体" w:hAnsi="宋体" w:cs="宋体" w:hint="eastAsia"/>
                <w:i w:val="0"/>
                <w:color w:val="000000"/>
                <w:sz w:val="22"/>
                <w:szCs w:val="22"/>
                <w:u w:val="none"/>
                <w:lang w:val="en-US" w:eastAsia="zh-CN"/>
              </w:rPr>
              <w:t>9.36</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r>
              <w:rPr>
                <w:rFonts w:ascii="宋体" w:hAnsi="宋体" w:cs="宋体" w:hint="eastAsia"/>
                <w:i w:val="0"/>
                <w:color w:val="000000"/>
                <w:sz w:val="22"/>
                <w:szCs w:val="22"/>
                <w:u w:val="none"/>
                <w:lang w:val="en-US" w:eastAsia="zh-CN"/>
              </w:rPr>
              <w:t>9.36</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二十、粮油物资储备支出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2"/>
                <w:szCs w:val="22"/>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二十一、国有资本经营预算支出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0"/>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0"/>
              </w:rPr>
            </w:pPr>
            <w:r>
              <w:rPr>
                <w:rFonts w:ascii="宋体" w:eastAsia="宋体" w:hAnsi="宋体" w:cs="宋体" w:hint="eastAsia"/>
                <w:i w:val="0"/>
                <w:color w:val="000000"/>
                <w:kern w:val="0"/>
                <w:sz w:val="22"/>
                <w:szCs w:val="22"/>
                <w:u w:val="none"/>
                <w:lang w:val="en-US" w:eastAsia="zh-CN" w:bidi="ar"/>
              </w:rPr>
              <w:t>二十二、灾害防治及应急管理支出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hint="eastAsia"/>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jc w:val="left"/>
              <w:rPr>
                <w:rFonts w:ascii="宋体" w:eastAsia="宋体" w:hAnsi="宋体" w:cs="宋体"/>
                <w:color w:val="000000"/>
                <w:kern w:val="0"/>
                <w:sz w:val="20"/>
              </w:rPr>
            </w:pP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0"/>
              </w:rPr>
            </w:pPr>
            <w:r>
              <w:rPr>
                <w:rFonts w:ascii="宋体" w:eastAsia="宋体" w:hAnsi="宋体" w:cs="宋体" w:hint="eastAsia"/>
                <w:i w:val="0"/>
                <w:color w:val="000000"/>
                <w:kern w:val="0"/>
                <w:sz w:val="22"/>
                <w:szCs w:val="22"/>
                <w:u w:val="none"/>
                <w:lang w:val="en-US" w:eastAsia="zh-CN" w:bidi="ar"/>
              </w:rPr>
              <w:t>二十三、其他支出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b/>
                <w:bCs/>
                <w:color w:val="000000"/>
                <w:kern w:val="0"/>
                <w:sz w:val="22"/>
                <w:szCs w:val="22"/>
              </w:rPr>
            </w:pPr>
            <w:r>
              <w:rPr>
                <w:rFonts w:ascii="宋体" w:eastAsia="宋体" w:hAnsi="宋体" w:cs="宋体" w:hint="eastAsia"/>
                <w:b/>
                <w:i w:val="0"/>
                <w:color w:val="000000"/>
                <w:kern w:val="0"/>
                <w:sz w:val="22"/>
                <w:szCs w:val="22"/>
                <w:u w:val="none"/>
                <w:lang w:val="en-US" w:eastAsia="zh-CN" w:bidi="ar"/>
              </w:rPr>
              <w:t>本年收入合计</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r>
              <w:rPr>
                <w:rFonts w:ascii="宋体" w:hAnsi="宋体" w:cs="宋体" w:hint="eastAsia"/>
                <w:i w:val="0"/>
                <w:color w:val="000000"/>
                <w:sz w:val="22"/>
                <w:szCs w:val="22"/>
                <w:u w:val="none"/>
                <w:lang w:val="en-US" w:eastAsia="zh-CN"/>
              </w:rPr>
              <w:t>428.68</w:t>
            </w: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二十四、债务还本支出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b/>
                <w:bCs/>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年初财政拨款结转和结余</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二十五、债务付息支出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一、一般公共预算财政拨款</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二十六、抗疫特别国债安排的支出</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二、政府性基金预算财政拨款</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color w:val="000000"/>
                <w:kern w:val="0"/>
                <w:sz w:val="22"/>
                <w:szCs w:val="22"/>
              </w:rPr>
            </w:pPr>
            <w:r>
              <w:rPr>
                <w:rFonts w:ascii="宋体" w:eastAsia="宋体" w:hAnsi="宋体" w:cs="宋体" w:hint="eastAsia"/>
                <w:b/>
                <w:i w:val="0"/>
                <w:color w:val="000000"/>
                <w:kern w:val="0"/>
                <w:sz w:val="22"/>
                <w:szCs w:val="22"/>
                <w:u w:val="none"/>
                <w:lang w:val="en-US" w:eastAsia="zh-CN" w:bidi="ar"/>
              </w:rPr>
              <w:t>本年支出合计</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r>
              <w:rPr>
                <w:rFonts w:ascii="宋体" w:hAnsi="宋体" w:cs="宋体" w:hint="eastAsia"/>
                <w:i w:val="0"/>
                <w:color w:val="000000"/>
                <w:sz w:val="22"/>
                <w:szCs w:val="22"/>
                <w:u w:val="none"/>
                <w:lang w:val="en-US" w:eastAsia="zh-CN"/>
              </w:rPr>
              <w:t>428.68</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r>
              <w:rPr>
                <w:rFonts w:ascii="宋体" w:hAnsi="宋体" w:cs="宋体" w:hint="eastAsia"/>
                <w:i w:val="0"/>
                <w:color w:val="000000"/>
                <w:sz w:val="22"/>
                <w:szCs w:val="22"/>
                <w:u w:val="none"/>
                <w:lang w:val="en-US" w:eastAsia="zh-CN"/>
              </w:rPr>
              <w:t>428.68</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b/>
                <w:bCs/>
                <w:color w:val="000000"/>
                <w:kern w:val="0"/>
                <w:sz w:val="22"/>
                <w:szCs w:val="22"/>
              </w:rPr>
            </w:pPr>
            <w:r>
              <w:rPr>
                <w:rFonts w:ascii="宋体" w:eastAsia="宋体" w:hAnsi="宋体" w:cs="宋体" w:hint="eastAsia"/>
                <w:i w:val="0"/>
                <w:color w:val="000000"/>
                <w:kern w:val="0"/>
                <w:sz w:val="22"/>
                <w:szCs w:val="22"/>
                <w:u w:val="none"/>
                <w:lang w:val="en-US" w:eastAsia="zh-CN" w:bidi="ar"/>
              </w:rPr>
              <w:t>三、国有资本经营预算财政拨款</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color w:val="000000"/>
                <w:kern w:val="0"/>
                <w:sz w:val="22"/>
                <w:szCs w:val="22"/>
                <w:u w:val="none"/>
                <w:lang w:val="en-US" w:eastAsia="zh-CN" w:bidi="ar"/>
              </w:rPr>
              <w:t>年末财政拨款结转和结余</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b/>
                <w:bCs/>
                <w:color w:val="000000"/>
                <w:kern w:val="0"/>
                <w:sz w:val="22"/>
                <w:szCs w:val="22"/>
              </w:rPr>
            </w:pP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r>
        <w:tblPrEx>
          <w:tblW w:w="9795" w:type="dxa"/>
          <w:tblInd w:w="93" w:type="dxa"/>
          <w:tblLayout w:type="fixed"/>
        </w:tblPrEx>
        <w:trPr>
          <w:trHeight w:val="300"/>
        </w:trPr>
        <w:tc>
          <w:tcPr>
            <w:tcW w:w="2454"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kern w:val="0"/>
                <w:sz w:val="22"/>
                <w:szCs w:val="22"/>
                <w:u w:val="none"/>
                <w:lang w:val="en-US" w:eastAsia="zh-CN" w:bidi="ar"/>
              </w:rPr>
            </w:pPr>
            <w:r>
              <w:rPr>
                <w:rFonts w:ascii="宋体" w:eastAsia="宋体" w:hAnsi="宋体" w:cs="宋体" w:hint="eastAsia"/>
                <w:b/>
                <w:bCs/>
                <w:i w:val="0"/>
                <w:color w:val="000000"/>
                <w:kern w:val="0"/>
                <w:sz w:val="22"/>
                <w:szCs w:val="22"/>
                <w:u w:val="none"/>
                <w:lang w:val="en-US" w:eastAsia="zh-CN" w:bidi="ar"/>
              </w:rPr>
              <w:t>总计</w:t>
            </w:r>
          </w:p>
        </w:tc>
        <w:tc>
          <w:tcPr>
            <w:tcW w:w="989" w:type="dxa"/>
            <w:tcBorders>
              <w:top w:val="single" w:sz="4" w:space="0" w:color="auto"/>
              <w:left w:val="single" w:sz="4" w:space="0" w:color="auto"/>
              <w:bottom w:val="single" w:sz="4" w:space="0" w:color="auto"/>
              <w:right w:val="single" w:sz="4" w:space="0" w:color="auto"/>
            </w:tcBorders>
            <w:noWrap w:val="0"/>
            <w:vAlign w:val="center"/>
          </w:tcPr>
          <w:p>
            <w:pPr>
              <w:jc w:val="right"/>
            </w:pPr>
            <w:r>
              <w:rPr>
                <w:rFonts w:ascii="宋体" w:hAnsi="宋体" w:cs="宋体" w:hint="eastAsia"/>
                <w:i w:val="0"/>
                <w:color w:val="000000"/>
                <w:sz w:val="22"/>
                <w:szCs w:val="22"/>
                <w:u w:val="none"/>
                <w:lang w:val="en-US" w:eastAsia="zh-CN"/>
              </w:rPr>
              <w:t>428.68</w:t>
            </w:r>
          </w:p>
        </w:tc>
        <w:tc>
          <w:tcPr>
            <w:tcW w:w="1500" w:type="dxa"/>
            <w:gridSpan w:val="2"/>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color w:val="000000"/>
                <w:kern w:val="0"/>
                <w:sz w:val="22"/>
                <w:szCs w:val="22"/>
                <w:u w:val="none"/>
                <w:lang w:val="en-US" w:eastAsia="zh-CN" w:bidi="ar"/>
              </w:rPr>
            </w:pPr>
            <w:r>
              <w:rPr>
                <w:rFonts w:ascii="宋体" w:eastAsia="宋体" w:hAnsi="宋体" w:cs="宋体" w:hint="eastAsia"/>
                <w:b/>
                <w:bCs/>
                <w:i w:val="0"/>
                <w:color w:val="000000"/>
                <w:kern w:val="0"/>
                <w:sz w:val="22"/>
                <w:szCs w:val="22"/>
                <w:u w:val="none"/>
                <w:lang w:val="en-US" w:eastAsia="zh-CN" w:bidi="ar"/>
              </w:rPr>
              <w:t>总计</w:t>
            </w:r>
          </w:p>
        </w:tc>
        <w:tc>
          <w:tcPr>
            <w:tcW w:w="1290" w:type="dxa"/>
            <w:gridSpan w:val="2"/>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b/>
                <w:bCs/>
                <w:color w:val="000000"/>
                <w:kern w:val="0"/>
                <w:sz w:val="22"/>
                <w:szCs w:val="22"/>
              </w:rPr>
            </w:pPr>
            <w:r>
              <w:rPr>
                <w:rFonts w:ascii="宋体" w:hAnsi="宋体" w:cs="宋体" w:hint="eastAsia"/>
                <w:i w:val="0"/>
                <w:color w:val="000000"/>
                <w:sz w:val="22"/>
                <w:szCs w:val="22"/>
                <w:u w:val="none"/>
                <w:lang w:val="en-US" w:eastAsia="zh-CN"/>
              </w:rPr>
              <w:t>428.68</w:t>
            </w:r>
          </w:p>
        </w:tc>
        <w:tc>
          <w:tcPr>
            <w:tcW w:w="1230"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r>
              <w:rPr>
                <w:rFonts w:ascii="宋体" w:hAnsi="宋体" w:cs="宋体" w:hint="eastAsia"/>
                <w:i w:val="0"/>
                <w:color w:val="000000"/>
                <w:sz w:val="22"/>
                <w:szCs w:val="22"/>
                <w:u w:val="none"/>
                <w:lang w:val="en-US" w:eastAsia="zh-CN"/>
              </w:rPr>
              <w:t>428.68</w:t>
            </w:r>
          </w:p>
        </w:tc>
        <w:tc>
          <w:tcPr>
            <w:tcW w:w="1110" w:type="dxa"/>
            <w:tcBorders>
              <w:top w:val="single" w:sz="4" w:space="0" w:color="auto"/>
              <w:left w:val="single" w:sz="4" w:space="0" w:color="auto"/>
              <w:bottom w:val="single" w:sz="4" w:space="0" w:color="auto"/>
              <w:right w:val="single" w:sz="4" w:space="0" w:color="auto"/>
            </w:tcBorders>
            <w:noWrap w:val="0"/>
            <w:vAlign w:val="center"/>
          </w:tcPr>
          <w:p>
            <w:pPr>
              <w:jc w:val="right"/>
            </w:pPr>
          </w:p>
        </w:tc>
        <w:tc>
          <w:tcPr>
            <w:tcW w:w="1222" w:type="dxa"/>
            <w:tcBorders>
              <w:top w:val="single" w:sz="4" w:space="0" w:color="auto"/>
              <w:left w:val="single" w:sz="4" w:space="0" w:color="auto"/>
              <w:bottom w:val="single" w:sz="4" w:space="0" w:color="auto"/>
              <w:right w:val="single" w:sz="4" w:space="0" w:color="auto"/>
            </w:tcBorders>
            <w:noWrap w:val="0"/>
            <w:vAlign w:val="center"/>
          </w:tcPr>
          <w:p>
            <w:pPr>
              <w:jc w:val="right"/>
              <w:rPr>
                <w:rFonts w:ascii="宋体" w:eastAsia="宋体" w:hAnsi="宋体" w:cs="宋体"/>
                <w:color w:val="000000"/>
                <w:kern w:val="0"/>
                <w:sz w:val="22"/>
                <w:szCs w:val="22"/>
              </w:rPr>
            </w:pPr>
          </w:p>
        </w:tc>
      </w:tr>
    </w:tbl>
    <w:p>
      <w:pPr>
        <w:jc w:val="both"/>
        <w:rPr>
          <w:rFonts w:ascii="黑体" w:eastAsia="黑体" w:hAnsi="黑体" w:hint="eastAsia"/>
          <w:sz w:val="32"/>
          <w:szCs w:val="32"/>
          <w:lang w:val="en-US" w:eastAsia="zh-CN"/>
        </w:rPr>
      </w:pPr>
    </w:p>
    <w:p>
      <w:pPr>
        <w:jc w:val="both"/>
        <w:rPr>
          <w:rFonts w:ascii="黑体" w:eastAsia="黑体" w:hAnsi="黑体" w:hint="eastAsia"/>
          <w:sz w:val="32"/>
          <w:szCs w:val="32"/>
          <w:lang w:val="en-US" w:eastAsia="zh-CN"/>
        </w:rPr>
      </w:pPr>
    </w:p>
    <w:p>
      <w:pPr>
        <w:ind w:firstLine="640" w:firstLineChars="200"/>
        <w:jc w:val="center"/>
        <w:rPr>
          <w:rFonts w:ascii="黑体" w:eastAsia="黑体" w:hAnsi="黑体" w:hint="eastAsia"/>
          <w:sz w:val="32"/>
          <w:szCs w:val="32"/>
          <w:lang w:val="en-US" w:eastAsia="zh-CN"/>
        </w:rPr>
      </w:pPr>
      <w:r>
        <w:rPr>
          <w:rFonts w:ascii="黑体" w:eastAsia="黑体" w:hAnsi="黑体" w:hint="eastAsia"/>
          <w:sz w:val="32"/>
          <w:szCs w:val="32"/>
          <w:lang w:val="en-US" w:eastAsia="zh-CN"/>
        </w:rPr>
        <w:t>五、一般公共预算财政拨款支出决算表</w:t>
      </w:r>
    </w:p>
    <w:tbl>
      <w:tblPr>
        <w:tblStyle w:val="TableNormal"/>
        <w:tblW w:w="0" w:type="auto"/>
        <w:tblInd w:w="93" w:type="dxa"/>
        <w:tblLayout w:type="fixed"/>
        <w:tblCellMar>
          <w:top w:w="15" w:type="dxa"/>
          <w:left w:w="108" w:type="dxa"/>
          <w:bottom w:w="15" w:type="dxa"/>
          <w:right w:w="108" w:type="dxa"/>
        </w:tblCellMar>
      </w:tblPr>
      <w:tblGrid>
        <w:gridCol w:w="573"/>
        <w:gridCol w:w="573"/>
        <w:gridCol w:w="574"/>
        <w:gridCol w:w="1425"/>
        <w:gridCol w:w="1252"/>
        <w:gridCol w:w="2191"/>
        <w:gridCol w:w="2191"/>
      </w:tblGrid>
      <w:tr>
        <w:tblPrEx>
          <w:tblW w:w="0" w:type="auto"/>
          <w:tblInd w:w="93" w:type="dxa"/>
          <w:tblLayout w:type="fixed"/>
        </w:tblPrEx>
        <w:trPr>
          <w:trHeight w:val="360"/>
        </w:trPr>
        <w:tc>
          <w:tcPr>
            <w:tcW w:w="8779" w:type="dxa"/>
            <w:gridSpan w:val="7"/>
            <w:noWrap w:val="0"/>
            <w:vAlign w:val="bottom"/>
          </w:tcPr>
          <w:p>
            <w:pPr>
              <w:widowControl/>
              <w:ind w:firstLine="7276" w:firstLineChars="3638"/>
              <w:jc w:val="left"/>
              <w:rPr>
                <w:rFonts w:ascii="Arial" w:eastAsia="宋体" w:hAnsi="Arial" w:cs="宋体"/>
                <w:color w:val="000000"/>
                <w:kern w:val="0"/>
                <w:sz w:val="20"/>
              </w:rPr>
            </w:pPr>
            <w:r>
              <w:rPr>
                <w:rFonts w:ascii="宋体" w:eastAsia="宋体" w:hAnsi="宋体" w:cs="宋体" w:hint="eastAsia"/>
                <w:color w:val="000000"/>
                <w:kern w:val="0"/>
                <w:sz w:val="20"/>
              </w:rPr>
              <w:t>公开05表</w:t>
            </w:r>
          </w:p>
        </w:tc>
      </w:tr>
      <w:tr>
        <w:tblPrEx>
          <w:tblW w:w="0" w:type="auto"/>
          <w:tblInd w:w="93" w:type="dxa"/>
          <w:tblLayout w:type="fixed"/>
        </w:tblPrEx>
        <w:trPr>
          <w:trHeight w:val="450"/>
        </w:trPr>
        <w:tc>
          <w:tcPr>
            <w:tcW w:w="8779" w:type="dxa"/>
            <w:gridSpan w:val="7"/>
            <w:tcBorders>
              <w:bottom w:val="single" w:sz="4" w:space="0" w:color="auto"/>
            </w:tcBorders>
            <w:noWrap w:val="0"/>
            <w:vAlign w:val="center"/>
          </w:tcPr>
          <w:p>
            <w:pPr>
              <w:widowControl/>
              <w:jc w:val="left"/>
              <w:rPr>
                <w:rFonts w:ascii="Arial" w:eastAsia="宋体" w:hAnsi="Arial" w:cs="宋体"/>
                <w:color w:val="000000"/>
                <w:kern w:val="0"/>
                <w:sz w:val="20"/>
              </w:rPr>
            </w:pPr>
            <w:r>
              <w:rPr>
                <w:rFonts w:ascii="宋体" w:eastAsia="宋体" w:hAnsi="宋体" w:cs="宋体" w:hint="eastAsia"/>
                <w:kern w:val="0"/>
                <w:sz w:val="20"/>
              </w:rPr>
              <w:t xml:space="preserve">部门：                                                               </w:t>
            </w:r>
            <w:r>
              <w:rPr>
                <w:rFonts w:ascii="宋体" w:eastAsia="宋体" w:hAnsi="宋体" w:cs="宋体" w:hint="eastAsia"/>
                <w:color w:val="000000"/>
                <w:kern w:val="0"/>
                <w:sz w:val="20"/>
              </w:rPr>
              <w:t>金额单位：万元</w:t>
            </w:r>
          </w:p>
        </w:tc>
      </w:tr>
      <w:tr>
        <w:tblPrEx>
          <w:tblW w:w="0" w:type="auto"/>
          <w:tblInd w:w="93" w:type="dxa"/>
          <w:tblLayout w:type="fixed"/>
        </w:tblPrEx>
        <w:trPr>
          <w:trHeight w:val="781"/>
        </w:trPr>
        <w:tc>
          <w:tcPr>
            <w:tcW w:w="1720" w:type="dxa"/>
            <w:gridSpan w:val="3"/>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科目编码</w:t>
            </w:r>
          </w:p>
        </w:tc>
        <w:tc>
          <w:tcPr>
            <w:tcW w:w="1425"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科目名称</w:t>
            </w:r>
          </w:p>
        </w:tc>
        <w:tc>
          <w:tcPr>
            <w:tcW w:w="5634" w:type="dxa"/>
            <w:gridSpan w:val="3"/>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本年支出</w:t>
            </w:r>
          </w:p>
        </w:tc>
      </w:tr>
      <w:tr>
        <w:tblPrEx>
          <w:tblW w:w="0" w:type="auto"/>
          <w:tblInd w:w="93" w:type="dxa"/>
          <w:tblLayout w:type="fixed"/>
        </w:tblPrEx>
        <w:trPr>
          <w:trHeight w:val="300"/>
        </w:trPr>
        <w:tc>
          <w:tcPr>
            <w:tcW w:w="1720" w:type="dxa"/>
            <w:gridSpan w:val="3"/>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1425"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1252"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2191"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基本支出</w:t>
            </w:r>
          </w:p>
        </w:tc>
        <w:tc>
          <w:tcPr>
            <w:tcW w:w="2191"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项目支出</w:t>
            </w:r>
          </w:p>
        </w:tc>
      </w:tr>
      <w:tr>
        <w:tblPrEx>
          <w:tblW w:w="0" w:type="auto"/>
          <w:tblInd w:w="93" w:type="dxa"/>
          <w:tblLayout w:type="fixed"/>
        </w:tblPrEx>
        <w:trPr>
          <w:trHeight w:val="286"/>
        </w:trPr>
        <w:tc>
          <w:tcPr>
            <w:tcW w:w="1720" w:type="dxa"/>
            <w:gridSpan w:val="3"/>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1425"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1252"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r>
      <w:tr>
        <w:tblPrEx>
          <w:tblW w:w="0" w:type="auto"/>
          <w:tblInd w:w="93" w:type="dxa"/>
          <w:tblLayout w:type="fixed"/>
        </w:tblPrEx>
        <w:trPr>
          <w:trHeight w:val="870"/>
        </w:trPr>
        <w:tc>
          <w:tcPr>
            <w:tcW w:w="1720" w:type="dxa"/>
            <w:gridSpan w:val="3"/>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1425"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1252"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rPr>
            </w:pPr>
          </w:p>
        </w:tc>
      </w:tr>
      <w:tr>
        <w:tblPrEx>
          <w:tblW w:w="0" w:type="auto"/>
          <w:tblInd w:w="93" w:type="dxa"/>
          <w:tblLayout w:type="fixed"/>
        </w:tblPrEx>
        <w:trPr>
          <w:trHeight w:val="673"/>
        </w:trPr>
        <w:tc>
          <w:tcPr>
            <w:tcW w:w="573"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hint="eastAsia"/>
                <w:color w:val="000000"/>
                <w:kern w:val="0"/>
                <w:sz w:val="22"/>
                <w:szCs w:val="22"/>
              </w:rPr>
            </w:pPr>
            <w:r>
              <w:rPr>
                <w:rFonts w:ascii="宋体" w:eastAsia="宋体" w:hAnsi="宋体" w:cs="宋体" w:hint="eastAsia"/>
                <w:color w:val="000000"/>
                <w:kern w:val="0"/>
                <w:sz w:val="22"/>
                <w:szCs w:val="22"/>
              </w:rPr>
              <w:t>类</w:t>
            </w:r>
          </w:p>
        </w:tc>
        <w:tc>
          <w:tcPr>
            <w:tcW w:w="573"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hint="eastAsia"/>
                <w:color w:val="000000"/>
                <w:kern w:val="0"/>
                <w:sz w:val="22"/>
                <w:szCs w:val="22"/>
              </w:rPr>
            </w:pPr>
            <w:r>
              <w:rPr>
                <w:rFonts w:ascii="宋体" w:eastAsia="宋体" w:hAnsi="宋体" w:cs="宋体" w:hint="eastAsia"/>
                <w:color w:val="000000"/>
                <w:kern w:val="0"/>
                <w:sz w:val="22"/>
                <w:szCs w:val="22"/>
              </w:rPr>
              <w:t>款</w:t>
            </w:r>
          </w:p>
        </w:tc>
        <w:tc>
          <w:tcPr>
            <w:tcW w:w="574"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hint="eastAsia"/>
                <w:color w:val="000000"/>
                <w:kern w:val="0"/>
                <w:sz w:val="22"/>
                <w:szCs w:val="22"/>
              </w:rPr>
            </w:pPr>
            <w:r>
              <w:rPr>
                <w:rFonts w:ascii="宋体" w:eastAsia="宋体" w:hAnsi="宋体" w:cs="宋体" w:hint="eastAsia"/>
                <w:color w:val="000000"/>
                <w:kern w:val="0"/>
                <w:sz w:val="22"/>
                <w:szCs w:val="22"/>
              </w:rPr>
              <w:t>项</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合计</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b/>
                <w:bCs/>
                <w:color w:val="000000"/>
                <w:kern w:val="0"/>
                <w:sz w:val="22"/>
                <w:szCs w:val="22"/>
              </w:rPr>
            </w:pPr>
            <w:r>
              <w:rPr>
                <w:rFonts w:ascii="宋体" w:eastAsia="宋体" w:hAnsi="宋体" w:cs="宋体" w:hint="eastAsia"/>
                <w:b/>
                <w:bCs/>
                <w:i w:val="0"/>
                <w:iCs w:val="0"/>
                <w:color w:val="000000"/>
                <w:kern w:val="0"/>
                <w:sz w:val="18"/>
                <w:szCs w:val="18"/>
                <w:u w:val="none"/>
                <w:lang w:val="en-US" w:eastAsia="zh-CN" w:bidi="ar"/>
              </w:rPr>
              <w:t>428.68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b/>
                <w:bCs/>
                <w:color w:val="000000"/>
                <w:kern w:val="0"/>
                <w:sz w:val="22"/>
                <w:szCs w:val="22"/>
              </w:rPr>
            </w:pPr>
            <w:r>
              <w:rPr>
                <w:rFonts w:ascii="宋体" w:eastAsia="宋体" w:hAnsi="宋体" w:cs="宋体" w:hint="eastAsia"/>
                <w:b/>
                <w:bCs/>
                <w:i w:val="0"/>
                <w:iCs w:val="0"/>
                <w:color w:val="000000"/>
                <w:kern w:val="0"/>
                <w:sz w:val="18"/>
                <w:szCs w:val="18"/>
                <w:u w:val="none"/>
                <w:lang w:val="en-US" w:eastAsia="zh-CN" w:bidi="ar"/>
              </w:rPr>
              <w:t>239.97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b/>
                <w:bCs/>
                <w:color w:val="000000"/>
                <w:kern w:val="0"/>
                <w:sz w:val="22"/>
                <w:szCs w:val="22"/>
              </w:rPr>
            </w:pPr>
            <w:r>
              <w:rPr>
                <w:rFonts w:ascii="宋体" w:eastAsia="宋体" w:hAnsi="宋体" w:cs="宋体" w:hint="eastAsia"/>
                <w:b/>
                <w:bCs/>
                <w:i w:val="0"/>
                <w:iCs w:val="0"/>
                <w:color w:val="000000"/>
                <w:kern w:val="0"/>
                <w:sz w:val="18"/>
                <w:szCs w:val="18"/>
                <w:u w:val="none"/>
                <w:lang w:val="en-US" w:eastAsia="zh-CN" w:bidi="ar"/>
              </w:rPr>
              <w:t>188.72</w:t>
            </w:r>
          </w:p>
        </w:tc>
      </w:tr>
      <w:tr>
        <w:tblPrEx>
          <w:tblW w:w="0" w:type="auto"/>
          <w:tblInd w:w="93" w:type="dxa"/>
          <w:tblLayout w:type="fixed"/>
        </w:tblPrEx>
        <w:trPr>
          <w:trHeight w:val="63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201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一般公共服务支出</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374.95</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186.23</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188.72</w:t>
            </w:r>
          </w:p>
        </w:tc>
      </w:tr>
      <w:tr>
        <w:tblPrEx>
          <w:tblW w:w="0" w:type="auto"/>
          <w:tblInd w:w="93" w:type="dxa"/>
          <w:tblLayout w:type="fixed"/>
        </w:tblPrEx>
        <w:trPr>
          <w:trHeight w:val="799"/>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20126</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档案事务</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374.95</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186.23</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188.72</w:t>
            </w:r>
          </w:p>
        </w:tc>
      </w:tr>
      <w:tr>
        <w:tblPrEx>
          <w:tblW w:w="0" w:type="auto"/>
          <w:tblInd w:w="93" w:type="dxa"/>
          <w:tblLayout w:type="fixed"/>
        </w:tblPrEx>
        <w:trPr>
          <w:trHeight w:val="811"/>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2012601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 xml:space="preserve">  行政运行</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40.67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40.67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539"/>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2012604</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 xml:space="preserve">  档案馆</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334.29</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145.57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188.72</w:t>
            </w:r>
          </w:p>
        </w:tc>
      </w:tr>
      <w:tr>
        <w:tblPrEx>
          <w:tblW w:w="0" w:type="auto"/>
          <w:tblInd w:w="93" w:type="dxa"/>
          <w:tblLayout w:type="fixed"/>
        </w:tblPrEx>
        <w:trPr>
          <w:trHeight w:val="803"/>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208</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社会保障和就业支出</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36.09</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36.09</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20805</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行政事业单位养老支出</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13.32</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13.32</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2080501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 xml:space="preserve">  行政单位离退休</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0.38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0.38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2080505</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 xml:space="preserve">  机关事业单位基本养老保险缴费支出</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12.94</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12.94</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20808</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抚恤</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22.77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22.77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2080801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 xml:space="preserve">  死亡抚恤</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22.77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22.77</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210</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卫生健康支出</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8.28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8.28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21011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行政事业单位医疗</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8.28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8.28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2101101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 xml:space="preserve">  行政单位医疗</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8.28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8.28</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221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住房保障支出</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9.36</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9.36</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22102</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住房改革支出</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9.36</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9.36</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r>
        <w:tblPrEx>
          <w:tblW w:w="0" w:type="auto"/>
          <w:tblInd w:w="93" w:type="dxa"/>
          <w:tblLayout w:type="fixed"/>
        </w:tblPrEx>
        <w:trPr>
          <w:trHeight w:val="81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2210201</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left"/>
              <w:textAlignment w:val="center"/>
              <w:rPr>
                <w:rFonts w:ascii="宋体" w:eastAsia="宋体" w:hAnsi="宋体" w:cs="宋体" w:hint="eastAsia"/>
                <w:i w:val="0"/>
                <w:iCs w:val="0"/>
                <w:color w:val="000000"/>
                <w:kern w:val="0"/>
                <w:sz w:val="18"/>
                <w:szCs w:val="18"/>
                <w:u w:val="none"/>
                <w:lang w:val="en-US" w:eastAsia="zh-CN" w:bidi="ar"/>
              </w:rPr>
            </w:pPr>
            <w:r>
              <w:rPr>
                <w:rFonts w:ascii="宋体" w:eastAsia="宋体" w:hAnsi="宋体" w:cs="宋体" w:hint="eastAsia"/>
                <w:i w:val="0"/>
                <w:iCs w:val="0"/>
                <w:color w:val="000000"/>
                <w:kern w:val="0"/>
                <w:sz w:val="18"/>
                <w:szCs w:val="18"/>
                <w:u w:val="none"/>
                <w:lang w:val="en-US" w:eastAsia="zh-CN" w:bidi="ar"/>
              </w:rPr>
              <w:t xml:space="preserve">  住房公积金</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9.36</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9.36</w:t>
            </w:r>
          </w:p>
        </w:tc>
        <w:tc>
          <w:tcPr>
            <w:tcW w:w="2191" w:type="dxa"/>
            <w:tcBorders>
              <w:top w:val="single" w:sz="4" w:space="0" w:color="auto"/>
              <w:left w:val="single" w:sz="4" w:space="0" w:color="auto"/>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宋体" w:hAnsi="宋体" w:cs="宋体"/>
                <w:color w:val="000000"/>
                <w:kern w:val="0"/>
                <w:sz w:val="22"/>
                <w:szCs w:val="22"/>
              </w:rPr>
            </w:pPr>
            <w:r>
              <w:rPr>
                <w:rFonts w:ascii="宋体" w:eastAsia="宋体" w:hAnsi="宋体" w:cs="宋体" w:hint="eastAsia"/>
                <w:i w:val="0"/>
                <w:iCs w:val="0"/>
                <w:color w:val="000000"/>
                <w:kern w:val="0"/>
                <w:sz w:val="18"/>
                <w:szCs w:val="18"/>
                <w:u w:val="none"/>
                <w:lang w:val="en-US" w:eastAsia="zh-CN" w:bidi="ar"/>
              </w:rPr>
              <w:t>0.00</w:t>
            </w:r>
          </w:p>
        </w:tc>
      </w:tr>
    </w:tbl>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widowControl/>
        <w:jc w:val="left"/>
        <w:rPr>
          <w:rFonts w:ascii="宋体" w:eastAsia="宋体" w:hAnsi="宋体" w:cs="宋体" w:hint="eastAsia"/>
          <w:color w:val="000000"/>
          <w:kern w:val="0"/>
          <w:sz w:val="22"/>
          <w:szCs w:val="22"/>
          <w:lang w:val="en-US" w:eastAsia="zh-CN" w:bidi="zh-CN"/>
        </w:rPr>
      </w:pPr>
    </w:p>
    <w:p>
      <w:pPr>
        <w:numPr>
          <w:ilvl w:val="0"/>
          <w:numId w:val="1"/>
        </w:numPr>
        <w:ind w:firstLine="640" w:firstLineChars="200"/>
        <w:jc w:val="center"/>
        <w:rPr>
          <w:rFonts w:ascii="黑体" w:eastAsia="黑体" w:hAnsi="黑体" w:hint="eastAsia"/>
          <w:sz w:val="32"/>
          <w:szCs w:val="32"/>
        </w:rPr>
      </w:pPr>
      <w:r>
        <w:rPr>
          <w:rFonts w:ascii="黑体" w:eastAsia="黑体" w:hAnsi="黑体" w:hint="eastAsia"/>
          <w:sz w:val="32"/>
          <w:szCs w:val="32"/>
        </w:rPr>
        <w:t>一般公共预算财政拨款基本支出决算表</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
      <w:tblGrid>
        <w:gridCol w:w="583"/>
        <w:gridCol w:w="1498"/>
        <w:gridCol w:w="631"/>
        <w:gridCol w:w="932"/>
        <w:gridCol w:w="1358"/>
        <w:gridCol w:w="603"/>
        <w:gridCol w:w="932"/>
        <w:gridCol w:w="840"/>
        <w:gridCol w:w="712"/>
        <w:gridCol w:w="922"/>
      </w:tblGrid>
      <w:tr>
        <w:tblPrEx>
          <w:tblW w:w="0" w:type="auto"/>
          <w:tblInd w:w="0" w:type="dxa"/>
          <w:tblLayout w:type="fixed"/>
        </w:tblPrEx>
        <w:trPr>
          <w:trHeight w:val="270"/>
        </w:trPr>
        <w:tc>
          <w:tcPr>
            <w:tcW w:w="583" w:type="dxa"/>
            <w:noWrap w:val="0"/>
            <w:vAlign w:val="bottom"/>
          </w:tcPr>
          <w:p>
            <w:pPr>
              <w:rPr>
                <w:rFonts w:ascii="宋体" w:eastAsia="宋体" w:hAnsi="宋体" w:cs="宋体" w:hint="eastAsia"/>
                <w:i w:val="0"/>
                <w:color w:val="000000"/>
                <w:sz w:val="22"/>
                <w:szCs w:val="22"/>
                <w:u w:val="none"/>
              </w:rPr>
            </w:pPr>
          </w:p>
        </w:tc>
        <w:tc>
          <w:tcPr>
            <w:tcW w:w="1498" w:type="dxa"/>
            <w:noWrap w:val="0"/>
            <w:vAlign w:val="bottom"/>
          </w:tcPr>
          <w:p>
            <w:pPr>
              <w:rPr>
                <w:rFonts w:ascii="宋体" w:eastAsia="宋体" w:hAnsi="宋体" w:cs="宋体" w:hint="eastAsia"/>
                <w:i w:val="0"/>
                <w:color w:val="000000"/>
                <w:sz w:val="22"/>
                <w:szCs w:val="22"/>
                <w:u w:val="none"/>
              </w:rPr>
            </w:pPr>
          </w:p>
        </w:tc>
        <w:tc>
          <w:tcPr>
            <w:tcW w:w="631" w:type="dxa"/>
            <w:noWrap w:val="0"/>
            <w:vAlign w:val="bottom"/>
          </w:tcPr>
          <w:p>
            <w:pPr>
              <w:rPr>
                <w:rFonts w:ascii="宋体" w:eastAsia="宋体" w:hAnsi="宋体" w:cs="宋体" w:hint="eastAsia"/>
                <w:i w:val="0"/>
                <w:color w:val="000000"/>
                <w:sz w:val="22"/>
                <w:szCs w:val="22"/>
                <w:u w:val="none"/>
              </w:rPr>
            </w:pPr>
          </w:p>
        </w:tc>
        <w:tc>
          <w:tcPr>
            <w:tcW w:w="932" w:type="dxa"/>
            <w:noWrap w:val="0"/>
            <w:vAlign w:val="bottom"/>
          </w:tcPr>
          <w:p>
            <w:pPr>
              <w:rPr>
                <w:rFonts w:ascii="宋体" w:eastAsia="宋体" w:hAnsi="宋体" w:cs="宋体" w:hint="eastAsia"/>
                <w:i w:val="0"/>
                <w:color w:val="000000"/>
                <w:sz w:val="22"/>
                <w:szCs w:val="22"/>
                <w:u w:val="none"/>
              </w:rPr>
            </w:pPr>
          </w:p>
        </w:tc>
        <w:tc>
          <w:tcPr>
            <w:tcW w:w="1358" w:type="dxa"/>
            <w:noWrap w:val="0"/>
            <w:vAlign w:val="bottom"/>
          </w:tcPr>
          <w:p>
            <w:pPr>
              <w:rPr>
                <w:rFonts w:ascii="宋体" w:eastAsia="宋体" w:hAnsi="宋体" w:cs="宋体" w:hint="eastAsia"/>
                <w:i w:val="0"/>
                <w:color w:val="000000"/>
                <w:sz w:val="22"/>
                <w:szCs w:val="22"/>
                <w:u w:val="none"/>
              </w:rPr>
            </w:pPr>
          </w:p>
        </w:tc>
        <w:tc>
          <w:tcPr>
            <w:tcW w:w="603" w:type="dxa"/>
            <w:noWrap w:val="0"/>
            <w:vAlign w:val="bottom"/>
          </w:tcPr>
          <w:p>
            <w:pPr>
              <w:rPr>
                <w:rFonts w:ascii="宋体" w:eastAsia="宋体" w:hAnsi="宋体" w:cs="宋体" w:hint="eastAsia"/>
                <w:i w:val="0"/>
                <w:color w:val="000000"/>
                <w:sz w:val="22"/>
                <w:szCs w:val="22"/>
                <w:u w:val="none"/>
              </w:rPr>
            </w:pPr>
          </w:p>
        </w:tc>
        <w:tc>
          <w:tcPr>
            <w:tcW w:w="932" w:type="dxa"/>
            <w:noWrap w:val="0"/>
            <w:vAlign w:val="bottom"/>
          </w:tcPr>
          <w:p>
            <w:pPr>
              <w:rPr>
                <w:rFonts w:ascii="宋体" w:eastAsia="宋体" w:hAnsi="宋体" w:cs="宋体" w:hint="eastAsia"/>
                <w:i w:val="0"/>
                <w:color w:val="000000"/>
                <w:sz w:val="22"/>
                <w:szCs w:val="22"/>
                <w:u w:val="none"/>
              </w:rPr>
            </w:pPr>
          </w:p>
        </w:tc>
        <w:tc>
          <w:tcPr>
            <w:tcW w:w="840" w:type="dxa"/>
            <w:noWrap w:val="0"/>
            <w:vAlign w:val="bottom"/>
          </w:tcPr>
          <w:p>
            <w:pPr>
              <w:rPr>
                <w:rFonts w:ascii="宋体" w:eastAsia="宋体" w:hAnsi="宋体" w:cs="宋体" w:hint="eastAsia"/>
                <w:i w:val="0"/>
                <w:color w:val="000000"/>
                <w:sz w:val="22"/>
                <w:szCs w:val="22"/>
                <w:u w:val="none"/>
              </w:rPr>
            </w:pPr>
          </w:p>
        </w:tc>
        <w:tc>
          <w:tcPr>
            <w:tcW w:w="1634" w:type="dxa"/>
            <w:gridSpan w:val="2"/>
            <w:noWrap w:val="0"/>
            <w:vAlign w:val="bottom"/>
          </w:tcPr>
          <w:p>
            <w:pPr>
              <w:keepNext w:val="0"/>
              <w:keepLines w:val="0"/>
              <w:widowControl/>
              <w:suppressLineNumbers w:val="0"/>
              <w:jc w:val="right"/>
              <w:textAlignment w:val="bottom"/>
              <w:rPr>
                <w:rFonts w:ascii="宋体" w:eastAsia="宋体" w:hAnsi="宋体" w:cs="宋体" w:hint="eastAsia"/>
                <w:i w:val="0"/>
                <w:color w:val="000000"/>
                <w:sz w:val="20"/>
                <w:szCs w:val="20"/>
                <w:u w:val="none"/>
              </w:rPr>
            </w:pPr>
            <w:r>
              <w:rPr>
                <w:rFonts w:ascii="宋体" w:eastAsia="宋体" w:hAnsi="宋体" w:cs="宋体" w:hint="eastAsia"/>
                <w:i w:val="0"/>
                <w:color w:val="000000"/>
                <w:kern w:val="0"/>
                <w:sz w:val="20"/>
                <w:szCs w:val="20"/>
                <w:u w:val="none"/>
                <w:lang w:val="en-US" w:eastAsia="zh-CN" w:bidi="ar"/>
              </w:rPr>
              <w:t>公开06表</w:t>
            </w:r>
          </w:p>
        </w:tc>
      </w:tr>
      <w:tr>
        <w:tblPrEx>
          <w:tblW w:w="0" w:type="auto"/>
          <w:tblInd w:w="0" w:type="dxa"/>
          <w:tblLayout w:type="fixed"/>
        </w:tblPrEx>
        <w:trPr>
          <w:trHeight w:val="270"/>
        </w:trPr>
        <w:tc>
          <w:tcPr>
            <w:tcW w:w="583" w:type="dxa"/>
            <w:noWrap w:val="0"/>
            <w:vAlign w:val="bottom"/>
          </w:tcPr>
          <w:p>
            <w:pPr>
              <w:keepNext w:val="0"/>
              <w:keepLines w:val="0"/>
              <w:widowControl/>
              <w:suppressLineNumbers w:val="0"/>
              <w:jc w:val="left"/>
              <w:textAlignment w:val="bottom"/>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0"/>
                <w:szCs w:val="20"/>
                <w:u w:val="none"/>
                <w:lang w:val="en-US" w:eastAsia="zh-CN" w:bidi="ar"/>
              </w:rPr>
              <w:t>部门</w:t>
            </w:r>
            <w:r>
              <w:rPr>
                <w:rFonts w:ascii="宋体" w:eastAsia="宋体" w:hAnsi="宋体" w:cs="宋体" w:hint="eastAsia"/>
                <w:i w:val="0"/>
                <w:color w:val="000000"/>
                <w:kern w:val="0"/>
                <w:sz w:val="22"/>
                <w:szCs w:val="22"/>
                <w:u w:val="none"/>
                <w:lang w:val="en-US" w:eastAsia="zh-CN" w:bidi="ar"/>
              </w:rPr>
              <w:t>：</w:t>
            </w:r>
          </w:p>
        </w:tc>
        <w:tc>
          <w:tcPr>
            <w:tcW w:w="1498" w:type="dxa"/>
            <w:noWrap w:val="0"/>
            <w:vAlign w:val="bottom"/>
          </w:tcPr>
          <w:p>
            <w:pPr>
              <w:rPr>
                <w:rFonts w:ascii="宋体" w:eastAsia="宋体" w:hAnsi="宋体" w:cs="宋体" w:hint="eastAsia"/>
                <w:i w:val="0"/>
                <w:color w:val="000000"/>
                <w:sz w:val="22"/>
                <w:szCs w:val="22"/>
                <w:u w:val="none"/>
              </w:rPr>
            </w:pPr>
          </w:p>
        </w:tc>
        <w:tc>
          <w:tcPr>
            <w:tcW w:w="631" w:type="dxa"/>
            <w:noWrap w:val="0"/>
            <w:vAlign w:val="bottom"/>
          </w:tcPr>
          <w:p>
            <w:pPr>
              <w:rPr>
                <w:rFonts w:ascii="宋体" w:eastAsia="宋体" w:hAnsi="宋体" w:cs="宋体" w:hint="eastAsia"/>
                <w:i w:val="0"/>
                <w:color w:val="000000"/>
                <w:sz w:val="22"/>
                <w:szCs w:val="22"/>
                <w:u w:val="none"/>
              </w:rPr>
            </w:pPr>
          </w:p>
        </w:tc>
        <w:tc>
          <w:tcPr>
            <w:tcW w:w="932" w:type="dxa"/>
            <w:noWrap w:val="0"/>
            <w:vAlign w:val="bottom"/>
          </w:tcPr>
          <w:p>
            <w:pPr>
              <w:rPr>
                <w:rFonts w:ascii="宋体" w:eastAsia="宋体" w:hAnsi="宋体" w:cs="宋体" w:hint="eastAsia"/>
                <w:i w:val="0"/>
                <w:color w:val="000000"/>
                <w:sz w:val="22"/>
                <w:szCs w:val="22"/>
                <w:u w:val="none"/>
              </w:rPr>
            </w:pPr>
          </w:p>
        </w:tc>
        <w:tc>
          <w:tcPr>
            <w:tcW w:w="1358" w:type="dxa"/>
            <w:noWrap w:val="0"/>
            <w:vAlign w:val="bottom"/>
          </w:tcPr>
          <w:p>
            <w:pPr>
              <w:rPr>
                <w:rFonts w:ascii="宋体" w:eastAsia="宋体" w:hAnsi="宋体" w:cs="宋体" w:hint="eastAsia"/>
                <w:i w:val="0"/>
                <w:color w:val="000000"/>
                <w:sz w:val="22"/>
                <w:szCs w:val="22"/>
                <w:u w:val="none"/>
              </w:rPr>
            </w:pPr>
          </w:p>
        </w:tc>
        <w:tc>
          <w:tcPr>
            <w:tcW w:w="603" w:type="dxa"/>
            <w:noWrap w:val="0"/>
            <w:vAlign w:val="bottom"/>
          </w:tcPr>
          <w:p>
            <w:pPr>
              <w:rPr>
                <w:rFonts w:ascii="宋体" w:eastAsia="宋体" w:hAnsi="宋体" w:cs="宋体" w:hint="eastAsia"/>
                <w:i w:val="0"/>
                <w:color w:val="000000"/>
                <w:sz w:val="22"/>
                <w:szCs w:val="22"/>
                <w:u w:val="none"/>
              </w:rPr>
            </w:pPr>
          </w:p>
        </w:tc>
        <w:tc>
          <w:tcPr>
            <w:tcW w:w="932" w:type="dxa"/>
            <w:noWrap w:val="0"/>
            <w:vAlign w:val="bottom"/>
          </w:tcPr>
          <w:p>
            <w:pPr>
              <w:rPr>
                <w:rFonts w:ascii="宋体" w:eastAsia="宋体" w:hAnsi="宋体" w:cs="宋体" w:hint="eastAsia"/>
                <w:i w:val="0"/>
                <w:color w:val="000000"/>
                <w:sz w:val="22"/>
                <w:szCs w:val="22"/>
                <w:u w:val="none"/>
              </w:rPr>
            </w:pPr>
          </w:p>
        </w:tc>
        <w:tc>
          <w:tcPr>
            <w:tcW w:w="840" w:type="dxa"/>
            <w:noWrap w:val="0"/>
            <w:vAlign w:val="bottom"/>
          </w:tcPr>
          <w:p>
            <w:pPr>
              <w:rPr>
                <w:rFonts w:ascii="宋体" w:eastAsia="宋体" w:hAnsi="宋体" w:cs="宋体" w:hint="eastAsia"/>
                <w:i w:val="0"/>
                <w:color w:val="000000"/>
                <w:sz w:val="22"/>
                <w:szCs w:val="22"/>
                <w:u w:val="none"/>
              </w:rPr>
            </w:pPr>
          </w:p>
        </w:tc>
        <w:tc>
          <w:tcPr>
            <w:tcW w:w="1634" w:type="dxa"/>
            <w:gridSpan w:val="2"/>
            <w:noWrap w:val="0"/>
            <w:vAlign w:val="bottom"/>
          </w:tcPr>
          <w:p>
            <w:pPr>
              <w:keepNext w:val="0"/>
              <w:keepLines w:val="0"/>
              <w:widowControl/>
              <w:suppressLineNumbers w:val="0"/>
              <w:jc w:val="both"/>
              <w:textAlignment w:val="bottom"/>
              <w:rPr>
                <w:rFonts w:ascii="宋体" w:eastAsia="宋体" w:hAnsi="宋体" w:cs="宋体" w:hint="eastAsia"/>
                <w:i w:val="0"/>
                <w:color w:val="000000"/>
                <w:sz w:val="20"/>
                <w:szCs w:val="20"/>
                <w:u w:val="none"/>
              </w:rPr>
            </w:pPr>
            <w:r>
              <w:rPr>
                <w:rFonts w:ascii="宋体" w:eastAsia="宋体" w:hAnsi="宋体" w:cs="宋体" w:hint="eastAsia"/>
                <w:i w:val="0"/>
                <w:color w:val="000000"/>
                <w:kern w:val="0"/>
                <w:sz w:val="20"/>
                <w:szCs w:val="20"/>
                <w:u w:val="none"/>
                <w:lang w:val="en-US" w:eastAsia="zh-CN" w:bidi="ar"/>
              </w:rPr>
              <w:t>金额单位：万元</w:t>
            </w:r>
          </w:p>
        </w:tc>
      </w:tr>
      <w:tr>
        <w:tblPrEx>
          <w:tblW w:w="0" w:type="auto"/>
          <w:tblInd w:w="0" w:type="dxa"/>
          <w:tblLayout w:type="fixed"/>
        </w:tblPrEx>
        <w:trPr>
          <w:trHeight w:val="300"/>
        </w:trPr>
        <w:tc>
          <w:tcPr>
            <w:tcW w:w="2712" w:type="dxa"/>
            <w:gridSpan w:val="3"/>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人员经费</w:t>
            </w:r>
          </w:p>
        </w:tc>
        <w:tc>
          <w:tcPr>
            <w:tcW w:w="6299" w:type="dxa"/>
            <w:gridSpan w:val="7"/>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公用经费</w:t>
            </w:r>
          </w:p>
        </w:tc>
      </w:tr>
      <w:tr>
        <w:tblPrEx>
          <w:tblW w:w="0" w:type="auto"/>
          <w:tblInd w:w="0" w:type="dxa"/>
          <w:tblLayout w:type="fixed"/>
        </w:tblPrEx>
        <w:trPr>
          <w:trHeight w:val="315"/>
        </w:trPr>
        <w:tc>
          <w:tcPr>
            <w:tcW w:w="583" w:type="dxa"/>
            <w:vMerge w:val="restart"/>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科目编码</w:t>
            </w:r>
          </w:p>
        </w:tc>
        <w:tc>
          <w:tcPr>
            <w:tcW w:w="1498"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科目名称</w:t>
            </w:r>
          </w:p>
        </w:tc>
        <w:tc>
          <w:tcPr>
            <w:tcW w:w="631"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金额</w:t>
            </w:r>
          </w:p>
        </w:tc>
        <w:tc>
          <w:tcPr>
            <w:tcW w:w="932"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科目编码</w:t>
            </w:r>
          </w:p>
        </w:tc>
        <w:tc>
          <w:tcPr>
            <w:tcW w:w="1358"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科目名称</w:t>
            </w:r>
          </w:p>
        </w:tc>
        <w:tc>
          <w:tcPr>
            <w:tcW w:w="603"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金额</w:t>
            </w:r>
          </w:p>
        </w:tc>
        <w:tc>
          <w:tcPr>
            <w:tcW w:w="932"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科目编码</w:t>
            </w:r>
          </w:p>
        </w:tc>
        <w:tc>
          <w:tcPr>
            <w:tcW w:w="1552" w:type="dxa"/>
            <w:gridSpan w:val="2"/>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科目名称</w:t>
            </w:r>
          </w:p>
        </w:tc>
        <w:tc>
          <w:tcPr>
            <w:tcW w:w="922"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金额</w:t>
            </w:r>
          </w:p>
        </w:tc>
      </w:tr>
      <w:tr>
        <w:tblPrEx>
          <w:tblW w:w="0" w:type="auto"/>
          <w:tblInd w:w="0" w:type="dxa"/>
          <w:tblLayout w:type="fixed"/>
        </w:tblPrEx>
        <w:trPr>
          <w:trHeight w:val="312"/>
        </w:trPr>
        <w:tc>
          <w:tcPr>
            <w:tcW w:w="583" w:type="dxa"/>
            <w:vMerge/>
            <w:tcBorders>
              <w:left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149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631"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32"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135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603"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32"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1552" w:type="dxa"/>
            <w:gridSpan w:val="2"/>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22"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工资福利支出</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183.64</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商品和服务支出</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33.18</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307</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债务利息及费用支出</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30101</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基本工资</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60.73</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30201</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办公费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7.94</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30701</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国内债务付息</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30102</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津贴补贴</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30.28</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30202</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印刷费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30702</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国外债务付息</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30103</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奖金</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44.56</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30203</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咨询费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30703</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国内债务发行费用</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30106</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伙食补助费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9.99</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30204</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手续费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30704</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国外债务发行费用</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30107</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绩效工资</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30205</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水费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0.04</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资本性支出</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30108</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机关事业单位基本养老保险缴费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12.94</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30206</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电费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2.11</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31001</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房屋建筑物购建</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30109</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职业年金缴费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30207</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邮电费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4.09</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31002</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办公设备购置</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30110</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职工基本医疗保险缴费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30208</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取暖费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31003</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专用设备购置</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30111</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公务员医疗补助缴费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8.28</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30209</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物业管理费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0.02</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31005</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基础设施建设</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30112</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其他社会保障缴费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30211</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差旅费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1.64</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31006</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大型修缮</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30113</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住房公积金</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16.84</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30212</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因公出国（境）费用</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31007</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信息网络及软件购置更新</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30114</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医疗费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30213</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维修(护)费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1.99</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31008</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物资储备</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30199</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其他工资福利支出</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30214</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租赁费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0.17</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31009</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土地补偿</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对个人和家庭的补助</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23.15</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30215</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会议费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31010</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安置补助</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30301</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离休费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30216</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培训费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31011</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地上附着物和青苗补偿</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30302</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退休费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30217</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公务接待费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1.86</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31012</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拆迁补偿</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30303</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退职（役）费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30218</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专用材料费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31013</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公务用车购置</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30304</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抚恤金</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22.77</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30224</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被装购置费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31019</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其他交通工具购置</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30305</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生活补助</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0.38</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30225</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专用燃料费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31021</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文物和陈列品购置</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30306</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救济费</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30226</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劳务费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1.51</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31022</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无形资产购置</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3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30307</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医疗费补助</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30227</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委托业务费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1.80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31099</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其他资本性支出</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30308</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助学金</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30228</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工会经费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3.29</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312</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对企业补助</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30309</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奖励金</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30229</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福利费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31201</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资本金注入</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30310</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个人农业生产补贴</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30231</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公务用车运行维护费</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31203</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政府投资基金股权投资</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30399</w:t>
            </w:r>
          </w:p>
        </w:tc>
        <w:tc>
          <w:tcPr>
            <w:tcW w:w="149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其他对个人和家庭的补助支出</w:t>
            </w:r>
          </w:p>
        </w:tc>
        <w:tc>
          <w:tcPr>
            <w:tcW w:w="631"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30239</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其他交通费用</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6.73</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31204</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费用补贴</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49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30240</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税金及附加费用</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31205</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利息补贴</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270"/>
        </w:trPr>
        <w:tc>
          <w:tcPr>
            <w:tcW w:w="583" w:type="dxa"/>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49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30299</w:t>
            </w:r>
          </w:p>
        </w:tc>
        <w:tc>
          <w:tcPr>
            <w:tcW w:w="1358"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其他商品和服务支出</w:t>
            </w:r>
          </w:p>
        </w:tc>
        <w:tc>
          <w:tcPr>
            <w:tcW w:w="603" w:type="dxa"/>
            <w:tcBorders>
              <w:bottom w:val="single" w:sz="4" w:space="0" w:color="000000"/>
              <w:right w:val="single" w:sz="4" w:space="0" w:color="000000"/>
            </w:tcBorders>
            <w:noWrap w:val="0"/>
            <w:vAlign w:val="center"/>
          </w:tcPr>
          <w:p>
            <w:pPr>
              <w:keepNext w:val="0"/>
              <w:keepLines w:val="0"/>
              <w:widowControl/>
              <w:suppressLineNumbers w:val="0"/>
              <w:jc w:val="right"/>
              <w:textAlignment w:val="center"/>
              <w:rPr>
                <w:rFonts w:ascii="宋体" w:eastAsia="宋体" w:hAnsi="宋体" w:cs="宋体" w:hint="eastAsia"/>
                <w:i w:val="0"/>
                <w:color w:val="000000"/>
                <w:sz w:val="22"/>
                <w:szCs w:val="22"/>
                <w:u w:val="none"/>
              </w:rPr>
            </w:pPr>
            <w:r>
              <w:rPr>
                <w:rFonts w:ascii="宋体" w:eastAsia="宋体" w:hAnsi="宋体" w:cs="宋体" w:hint="eastAsia"/>
                <w:i w:val="0"/>
                <w:iCs w:val="0"/>
                <w:color w:val="000000"/>
                <w:kern w:val="0"/>
                <w:sz w:val="22"/>
                <w:szCs w:val="22"/>
                <w:u w:val="none"/>
                <w:lang w:val="en-US" w:eastAsia="zh-CN" w:bidi="ar"/>
              </w:rPr>
              <w:t>0.00</w:t>
            </w: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31299 </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其他对企业补助</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49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35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03"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399</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其他支出</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49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35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03"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39906</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赠与</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49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35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03"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39907</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国家赔偿费用支出</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49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35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03"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39908</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对民间非营利组织和群众性自治组织补贴</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583" w:type="dxa"/>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49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1358"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03"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32" w:type="dxa"/>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39999</w:t>
            </w:r>
          </w:p>
        </w:tc>
        <w:tc>
          <w:tcPr>
            <w:tcW w:w="1552" w:type="dxa"/>
            <w:gridSpan w:val="2"/>
            <w:tcBorders>
              <w:bottom w:val="single" w:sz="4" w:space="0" w:color="000000"/>
              <w:right w:val="single" w:sz="4" w:space="0" w:color="000000"/>
            </w:tcBorders>
            <w:noWrap w:val="0"/>
            <w:vAlign w:val="center"/>
          </w:tcPr>
          <w:p>
            <w:pPr>
              <w:keepNext w:val="0"/>
              <w:keepLines w:val="0"/>
              <w:widowControl/>
              <w:suppressLineNumbers w:val="0"/>
              <w:jc w:val="left"/>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 xml:space="preserve">  其他支出</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r>
        <w:tblPrEx>
          <w:tblW w:w="0" w:type="auto"/>
          <w:tblInd w:w="0" w:type="dxa"/>
          <w:tblLayout w:type="fixed"/>
        </w:tblPrEx>
        <w:trPr>
          <w:trHeight w:val="300"/>
        </w:trPr>
        <w:tc>
          <w:tcPr>
            <w:tcW w:w="2081" w:type="dxa"/>
            <w:gridSpan w:val="2"/>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人员经费合计</w:t>
            </w:r>
          </w:p>
        </w:tc>
        <w:tc>
          <w:tcPr>
            <w:tcW w:w="631" w:type="dxa"/>
            <w:tcBorders>
              <w:bottom w:val="single" w:sz="4" w:space="0" w:color="000000"/>
              <w:right w:val="single" w:sz="4" w:space="0" w:color="000000"/>
            </w:tcBorders>
            <w:noWrap w:val="0"/>
            <w:vAlign w:val="center"/>
          </w:tcPr>
          <w:p>
            <w:pPr>
              <w:jc w:val="right"/>
              <w:rPr>
                <w:rFonts w:ascii="宋体" w:eastAsia="宋体" w:hAnsi="宋体" w:cs="宋体" w:hint="default"/>
                <w:i w:val="0"/>
                <w:color w:val="000000"/>
                <w:sz w:val="22"/>
                <w:szCs w:val="22"/>
                <w:u w:val="none"/>
                <w:lang w:val="en-US" w:eastAsia="zh-CN"/>
              </w:rPr>
            </w:pPr>
            <w:r>
              <w:rPr>
                <w:rFonts w:ascii="宋体" w:hAnsi="宋体" w:cs="宋体" w:hint="eastAsia"/>
                <w:i w:val="0"/>
                <w:color w:val="000000"/>
                <w:sz w:val="22"/>
                <w:szCs w:val="22"/>
                <w:u w:val="none"/>
                <w:lang w:val="en-US" w:eastAsia="zh-CN"/>
              </w:rPr>
              <w:t>206.79</w:t>
            </w:r>
          </w:p>
        </w:tc>
        <w:tc>
          <w:tcPr>
            <w:tcW w:w="5377" w:type="dxa"/>
            <w:gridSpan w:val="6"/>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公用经费合计</w:t>
            </w:r>
          </w:p>
        </w:tc>
        <w:tc>
          <w:tcPr>
            <w:tcW w:w="922" w:type="dxa"/>
            <w:tcBorders>
              <w:bottom w:val="single" w:sz="4" w:space="0" w:color="000000"/>
              <w:right w:val="single" w:sz="4" w:space="0" w:color="000000"/>
            </w:tcBorders>
            <w:noWrap w:val="0"/>
            <w:vAlign w:val="center"/>
          </w:tcPr>
          <w:p>
            <w:pPr>
              <w:jc w:val="right"/>
              <w:rPr>
                <w:rFonts w:ascii="宋体" w:eastAsia="宋体" w:hAnsi="宋体" w:cs="宋体" w:hint="default"/>
                <w:i w:val="0"/>
                <w:color w:val="000000"/>
                <w:sz w:val="22"/>
                <w:szCs w:val="22"/>
                <w:u w:val="none"/>
                <w:lang w:val="en-US" w:eastAsia="zh-CN"/>
              </w:rPr>
            </w:pPr>
            <w:r>
              <w:rPr>
                <w:rFonts w:ascii="宋体" w:hAnsi="宋体" w:cs="宋体" w:hint="eastAsia"/>
                <w:i w:val="0"/>
                <w:color w:val="000000"/>
                <w:sz w:val="22"/>
                <w:szCs w:val="22"/>
                <w:u w:val="none"/>
                <w:lang w:val="en-US" w:eastAsia="zh-CN"/>
              </w:rPr>
              <w:t>33.18</w:t>
            </w:r>
          </w:p>
        </w:tc>
      </w:tr>
    </w:tbl>
    <w:p>
      <w:pPr>
        <w:numPr>
          <w:ilvl w:val="0"/>
          <w:numId w:val="0"/>
        </w:numPr>
        <w:jc w:val="both"/>
        <w:rPr>
          <w:rFonts w:ascii="宋体" w:eastAsia="宋体" w:hAnsi="宋体" w:cs="宋体" w:hint="eastAsia"/>
          <w:color w:val="000000"/>
          <w:kern w:val="0"/>
          <w:sz w:val="22"/>
          <w:szCs w:val="22"/>
          <w:lang w:val="en-US" w:eastAsia="zh-CN" w:bidi="zh-CN"/>
        </w:rPr>
      </w:pPr>
    </w:p>
    <w:p>
      <w:pPr>
        <w:numPr>
          <w:ilvl w:val="0"/>
          <w:numId w:val="0"/>
        </w:numPr>
        <w:jc w:val="both"/>
        <w:rPr>
          <w:rFonts w:ascii="宋体" w:eastAsia="宋体" w:hAnsi="宋体" w:cs="宋体" w:hint="eastAsia"/>
          <w:color w:val="000000"/>
          <w:kern w:val="0"/>
          <w:sz w:val="22"/>
          <w:szCs w:val="22"/>
          <w:lang w:val="en-US" w:eastAsia="zh-CN" w:bidi="zh-CN"/>
        </w:rPr>
      </w:pPr>
    </w:p>
    <w:p>
      <w:pPr>
        <w:numPr>
          <w:ilvl w:val="0"/>
          <w:numId w:val="0"/>
        </w:numPr>
        <w:jc w:val="both"/>
        <w:rPr>
          <w:rFonts w:ascii="宋体" w:eastAsia="宋体" w:hAnsi="宋体" w:cs="宋体" w:hint="eastAsia"/>
          <w:color w:val="000000"/>
          <w:kern w:val="0"/>
          <w:sz w:val="22"/>
          <w:szCs w:val="22"/>
          <w:lang w:val="en-US" w:eastAsia="zh-CN" w:bidi="zh-CN"/>
        </w:rPr>
      </w:pPr>
    </w:p>
    <w:p>
      <w:pPr>
        <w:numPr>
          <w:ilvl w:val="0"/>
          <w:numId w:val="0"/>
        </w:numPr>
        <w:jc w:val="both"/>
        <w:rPr>
          <w:rFonts w:ascii="宋体" w:eastAsia="宋体" w:hAnsi="宋体" w:cs="宋体" w:hint="eastAsia"/>
          <w:color w:val="000000"/>
          <w:kern w:val="0"/>
          <w:sz w:val="22"/>
          <w:szCs w:val="22"/>
          <w:lang w:val="en-US" w:eastAsia="zh-CN" w:bidi="zh-CN"/>
        </w:rPr>
      </w:pPr>
    </w:p>
    <w:p>
      <w:pPr>
        <w:numPr>
          <w:ilvl w:val="0"/>
          <w:numId w:val="0"/>
        </w:numPr>
        <w:jc w:val="both"/>
        <w:rPr>
          <w:rFonts w:ascii="宋体" w:eastAsia="宋体" w:hAnsi="宋体" w:cs="宋体" w:hint="eastAsia"/>
          <w:color w:val="000000"/>
          <w:kern w:val="0"/>
          <w:sz w:val="22"/>
          <w:szCs w:val="22"/>
          <w:lang w:val="en-US" w:eastAsia="zh-CN" w:bidi="zh-CN"/>
        </w:rPr>
      </w:pPr>
    </w:p>
    <w:p>
      <w:pPr>
        <w:numPr>
          <w:ilvl w:val="0"/>
          <w:numId w:val="0"/>
        </w:numPr>
        <w:jc w:val="center"/>
        <w:rPr>
          <w:rFonts w:ascii="黑体" w:eastAsia="黑体" w:hAnsi="黑体" w:hint="eastAsia"/>
          <w:sz w:val="32"/>
          <w:szCs w:val="32"/>
        </w:rPr>
      </w:pPr>
      <w:r>
        <w:rPr>
          <w:rFonts w:ascii="黑体" w:eastAsia="黑体" w:hAnsi="黑体" w:hint="eastAsia"/>
          <w:sz w:val="32"/>
          <w:szCs w:val="32"/>
          <w:lang w:val="en-US" w:eastAsia="zh-CN"/>
        </w:rPr>
        <w:t>七、</w:t>
      </w:r>
      <w:r>
        <w:rPr>
          <w:rFonts w:ascii="黑体" w:eastAsia="黑体" w:hAnsi="黑体" w:hint="eastAsia"/>
          <w:sz w:val="32"/>
          <w:szCs w:val="32"/>
        </w:rPr>
        <w:t>政府性基金预算财政拨款收入支出决算表</w:t>
      </w:r>
    </w:p>
    <w:tbl>
      <w:tblPr>
        <w:tblStyle w:val="TableNormal"/>
        <w:tblW w:w="9930" w:type="dxa"/>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 w:type="dxa"/>
          <w:left w:w="15" w:type="dxa"/>
          <w:bottom w:w="15" w:type="dxa"/>
          <w:right w:w="15" w:type="dxa"/>
        </w:tblCellMar>
      </w:tblPr>
      <w:tblGrid>
        <w:gridCol w:w="569"/>
        <w:gridCol w:w="83"/>
        <w:gridCol w:w="240"/>
        <w:gridCol w:w="383"/>
        <w:gridCol w:w="690"/>
        <w:gridCol w:w="789"/>
        <w:gridCol w:w="726"/>
        <w:gridCol w:w="928"/>
        <w:gridCol w:w="396"/>
        <w:gridCol w:w="371"/>
        <w:gridCol w:w="506"/>
        <w:gridCol w:w="468"/>
        <w:gridCol w:w="295"/>
        <w:gridCol w:w="468"/>
        <w:gridCol w:w="353"/>
        <w:gridCol w:w="814"/>
        <w:gridCol w:w="468"/>
        <w:gridCol w:w="460"/>
        <w:gridCol w:w="923"/>
      </w:tblGrid>
      <w:tr>
        <w:tblPrEx>
          <w:tblW w:w="9930" w:type="dxa"/>
          <w:tblInd w:w="-150" w:type="dxa"/>
          <w:tblLayout w:type="fixed"/>
        </w:tblPrEx>
        <w:trPr>
          <w:trHeight w:val="285"/>
        </w:trPr>
        <w:tc>
          <w:tcPr>
            <w:tcW w:w="652" w:type="dxa"/>
            <w:gridSpan w:val="2"/>
            <w:noWrap w:val="0"/>
            <w:vAlign w:val="bottom"/>
          </w:tcPr>
          <w:p>
            <w:pPr>
              <w:rPr>
                <w:rFonts w:ascii="Arial" w:hAnsi="Arial" w:cs="Arial" w:hint="eastAsia"/>
                <w:i w:val="0"/>
                <w:color w:val="000000"/>
                <w:sz w:val="20"/>
                <w:szCs w:val="20"/>
                <w:u w:val="none"/>
              </w:rPr>
            </w:pPr>
          </w:p>
        </w:tc>
        <w:tc>
          <w:tcPr>
            <w:tcW w:w="240" w:type="dxa"/>
            <w:noWrap w:val="0"/>
            <w:vAlign w:val="bottom"/>
          </w:tcPr>
          <w:p>
            <w:pPr>
              <w:rPr>
                <w:rFonts w:ascii="Arial" w:hAnsi="Arial" w:cs="Arial" w:hint="default"/>
                <w:i w:val="0"/>
                <w:color w:val="000000"/>
                <w:sz w:val="20"/>
                <w:szCs w:val="20"/>
                <w:u w:val="none"/>
              </w:rPr>
            </w:pPr>
          </w:p>
        </w:tc>
        <w:tc>
          <w:tcPr>
            <w:tcW w:w="383" w:type="dxa"/>
            <w:noWrap w:val="0"/>
            <w:vAlign w:val="bottom"/>
          </w:tcPr>
          <w:p>
            <w:pPr>
              <w:rPr>
                <w:rFonts w:ascii="Arial" w:hAnsi="Arial" w:cs="Arial" w:hint="default"/>
                <w:i w:val="0"/>
                <w:color w:val="000000"/>
                <w:sz w:val="20"/>
                <w:szCs w:val="20"/>
                <w:u w:val="none"/>
              </w:rPr>
            </w:pPr>
          </w:p>
        </w:tc>
        <w:tc>
          <w:tcPr>
            <w:tcW w:w="690" w:type="dxa"/>
            <w:noWrap w:val="0"/>
            <w:vAlign w:val="bottom"/>
          </w:tcPr>
          <w:p>
            <w:pPr>
              <w:rPr>
                <w:rFonts w:ascii="Arial" w:hAnsi="Arial" w:cs="Arial" w:hint="default"/>
                <w:i w:val="0"/>
                <w:color w:val="000000"/>
                <w:sz w:val="20"/>
                <w:szCs w:val="20"/>
                <w:u w:val="none"/>
              </w:rPr>
            </w:pPr>
          </w:p>
        </w:tc>
        <w:tc>
          <w:tcPr>
            <w:tcW w:w="789" w:type="dxa"/>
            <w:noWrap w:val="0"/>
            <w:vAlign w:val="bottom"/>
          </w:tcPr>
          <w:p>
            <w:pPr>
              <w:rPr>
                <w:rFonts w:ascii="Arial" w:hAnsi="Arial" w:cs="Arial" w:hint="default"/>
                <w:i w:val="0"/>
                <w:color w:val="000000"/>
                <w:sz w:val="20"/>
                <w:szCs w:val="20"/>
                <w:u w:val="none"/>
              </w:rPr>
            </w:pPr>
          </w:p>
        </w:tc>
        <w:tc>
          <w:tcPr>
            <w:tcW w:w="726" w:type="dxa"/>
            <w:noWrap w:val="0"/>
            <w:vAlign w:val="bottom"/>
          </w:tcPr>
          <w:p>
            <w:pPr>
              <w:rPr>
                <w:rFonts w:ascii="Arial" w:hAnsi="Arial" w:cs="Arial" w:hint="default"/>
                <w:i w:val="0"/>
                <w:color w:val="000000"/>
                <w:sz w:val="20"/>
                <w:szCs w:val="20"/>
                <w:u w:val="none"/>
              </w:rPr>
            </w:pPr>
          </w:p>
        </w:tc>
        <w:tc>
          <w:tcPr>
            <w:tcW w:w="928" w:type="dxa"/>
            <w:noWrap w:val="0"/>
            <w:vAlign w:val="bottom"/>
          </w:tcPr>
          <w:p>
            <w:pPr>
              <w:rPr>
                <w:rFonts w:ascii="Arial" w:hAnsi="Arial" w:cs="Arial" w:hint="default"/>
                <w:i w:val="0"/>
                <w:color w:val="000000"/>
                <w:sz w:val="20"/>
                <w:szCs w:val="20"/>
                <w:u w:val="none"/>
              </w:rPr>
            </w:pPr>
          </w:p>
        </w:tc>
        <w:tc>
          <w:tcPr>
            <w:tcW w:w="396" w:type="dxa"/>
            <w:noWrap w:val="0"/>
            <w:vAlign w:val="bottom"/>
          </w:tcPr>
          <w:p>
            <w:pPr>
              <w:rPr>
                <w:rFonts w:ascii="Arial" w:hAnsi="Arial" w:cs="Arial" w:hint="default"/>
                <w:i w:val="0"/>
                <w:color w:val="000000"/>
                <w:sz w:val="20"/>
                <w:szCs w:val="20"/>
                <w:u w:val="none"/>
              </w:rPr>
            </w:pPr>
          </w:p>
        </w:tc>
        <w:tc>
          <w:tcPr>
            <w:tcW w:w="371" w:type="dxa"/>
            <w:noWrap w:val="0"/>
            <w:vAlign w:val="bottom"/>
          </w:tcPr>
          <w:p>
            <w:pPr>
              <w:rPr>
                <w:rFonts w:ascii="Arial" w:hAnsi="Arial" w:cs="Arial" w:hint="default"/>
                <w:i w:val="0"/>
                <w:color w:val="000000"/>
                <w:sz w:val="20"/>
                <w:szCs w:val="20"/>
                <w:u w:val="none"/>
              </w:rPr>
            </w:pPr>
          </w:p>
        </w:tc>
        <w:tc>
          <w:tcPr>
            <w:tcW w:w="506" w:type="dxa"/>
            <w:noWrap w:val="0"/>
            <w:vAlign w:val="bottom"/>
          </w:tcPr>
          <w:p>
            <w:pPr>
              <w:rPr>
                <w:rFonts w:ascii="Arial" w:hAnsi="Arial" w:cs="Arial" w:hint="default"/>
                <w:i w:val="0"/>
                <w:color w:val="000000"/>
                <w:sz w:val="20"/>
                <w:szCs w:val="20"/>
                <w:u w:val="none"/>
              </w:rPr>
            </w:pPr>
          </w:p>
        </w:tc>
        <w:tc>
          <w:tcPr>
            <w:tcW w:w="468" w:type="dxa"/>
            <w:noWrap w:val="0"/>
            <w:vAlign w:val="bottom"/>
          </w:tcPr>
          <w:p>
            <w:pPr>
              <w:rPr>
                <w:rFonts w:ascii="Arial" w:hAnsi="Arial" w:cs="Arial" w:hint="default"/>
                <w:i w:val="0"/>
                <w:color w:val="000000"/>
                <w:sz w:val="20"/>
                <w:szCs w:val="20"/>
                <w:u w:val="none"/>
              </w:rPr>
            </w:pPr>
          </w:p>
        </w:tc>
        <w:tc>
          <w:tcPr>
            <w:tcW w:w="295" w:type="dxa"/>
            <w:noWrap w:val="0"/>
            <w:vAlign w:val="bottom"/>
          </w:tcPr>
          <w:p>
            <w:pPr>
              <w:rPr>
                <w:rFonts w:ascii="Arial" w:hAnsi="Arial" w:cs="Arial" w:hint="default"/>
                <w:i w:val="0"/>
                <w:color w:val="000000"/>
                <w:sz w:val="20"/>
                <w:szCs w:val="20"/>
                <w:u w:val="none"/>
              </w:rPr>
            </w:pPr>
          </w:p>
        </w:tc>
        <w:tc>
          <w:tcPr>
            <w:tcW w:w="468" w:type="dxa"/>
            <w:noWrap w:val="0"/>
            <w:vAlign w:val="bottom"/>
          </w:tcPr>
          <w:p>
            <w:pPr>
              <w:rPr>
                <w:rFonts w:ascii="Arial" w:hAnsi="Arial" w:cs="Arial" w:hint="default"/>
                <w:i w:val="0"/>
                <w:color w:val="000000"/>
                <w:sz w:val="20"/>
                <w:szCs w:val="20"/>
                <w:u w:val="none"/>
              </w:rPr>
            </w:pPr>
          </w:p>
        </w:tc>
        <w:tc>
          <w:tcPr>
            <w:tcW w:w="353" w:type="dxa"/>
            <w:noWrap w:val="0"/>
            <w:vAlign w:val="bottom"/>
          </w:tcPr>
          <w:p>
            <w:pPr>
              <w:rPr>
                <w:rFonts w:ascii="Arial" w:hAnsi="Arial" w:cs="Arial" w:hint="default"/>
                <w:i w:val="0"/>
                <w:color w:val="000000"/>
                <w:sz w:val="20"/>
                <w:szCs w:val="20"/>
                <w:u w:val="none"/>
              </w:rPr>
            </w:pPr>
          </w:p>
        </w:tc>
        <w:tc>
          <w:tcPr>
            <w:tcW w:w="814" w:type="dxa"/>
            <w:noWrap w:val="0"/>
            <w:vAlign w:val="bottom"/>
          </w:tcPr>
          <w:p>
            <w:pPr>
              <w:rPr>
                <w:rFonts w:ascii="Arial" w:hAnsi="Arial" w:cs="Arial" w:hint="default"/>
                <w:i w:val="0"/>
                <w:color w:val="000000"/>
                <w:sz w:val="20"/>
                <w:szCs w:val="20"/>
                <w:u w:val="none"/>
              </w:rPr>
            </w:pPr>
          </w:p>
        </w:tc>
        <w:tc>
          <w:tcPr>
            <w:tcW w:w="468" w:type="dxa"/>
            <w:noWrap w:val="0"/>
            <w:vAlign w:val="bottom"/>
          </w:tcPr>
          <w:p>
            <w:pPr>
              <w:rPr>
                <w:rFonts w:ascii="Arial" w:hAnsi="Arial" w:cs="Arial" w:hint="default"/>
                <w:i w:val="0"/>
                <w:color w:val="000000"/>
                <w:sz w:val="20"/>
                <w:szCs w:val="20"/>
                <w:u w:val="none"/>
              </w:rPr>
            </w:pPr>
          </w:p>
        </w:tc>
        <w:tc>
          <w:tcPr>
            <w:tcW w:w="1383" w:type="dxa"/>
            <w:gridSpan w:val="2"/>
            <w:noWrap w:val="0"/>
            <w:vAlign w:val="bottom"/>
          </w:tcPr>
          <w:p>
            <w:pPr>
              <w:keepNext w:val="0"/>
              <w:keepLines w:val="0"/>
              <w:widowControl/>
              <w:suppressLineNumbers w:val="0"/>
              <w:jc w:val="right"/>
              <w:textAlignment w:val="bottom"/>
              <w:rPr>
                <w:rFonts w:ascii="宋体" w:eastAsia="宋体" w:hAnsi="宋体" w:cs="宋体" w:hint="eastAsia"/>
                <w:i w:val="0"/>
                <w:color w:val="000000"/>
                <w:sz w:val="20"/>
                <w:szCs w:val="20"/>
                <w:u w:val="none"/>
              </w:rPr>
            </w:pPr>
            <w:r>
              <w:rPr>
                <w:rFonts w:ascii="宋体" w:eastAsia="宋体" w:hAnsi="宋体" w:cs="宋体" w:hint="eastAsia"/>
                <w:i w:val="0"/>
                <w:color w:val="000000"/>
                <w:kern w:val="0"/>
                <w:sz w:val="20"/>
                <w:szCs w:val="20"/>
                <w:u w:val="none"/>
                <w:lang w:val="en-US" w:eastAsia="zh-CN" w:bidi="ar"/>
              </w:rPr>
              <w:t>公开07表</w:t>
            </w:r>
          </w:p>
        </w:tc>
      </w:tr>
      <w:tr>
        <w:tblPrEx>
          <w:tblW w:w="9930" w:type="dxa"/>
          <w:tblInd w:w="-150" w:type="dxa"/>
          <w:tblLayout w:type="fixed"/>
        </w:tblPrEx>
        <w:trPr>
          <w:trHeight w:val="285"/>
        </w:trPr>
        <w:tc>
          <w:tcPr>
            <w:tcW w:w="652" w:type="dxa"/>
            <w:gridSpan w:val="2"/>
            <w:noWrap w:val="0"/>
            <w:vAlign w:val="bottom"/>
          </w:tcPr>
          <w:p>
            <w:pPr>
              <w:keepNext w:val="0"/>
              <w:keepLines w:val="0"/>
              <w:widowControl/>
              <w:suppressLineNumbers w:val="0"/>
              <w:jc w:val="left"/>
              <w:textAlignment w:val="bottom"/>
              <w:rPr>
                <w:rFonts w:ascii="宋体" w:eastAsia="宋体" w:hAnsi="宋体" w:cs="宋体" w:hint="eastAsia"/>
                <w:i w:val="0"/>
                <w:color w:val="000000"/>
                <w:sz w:val="20"/>
                <w:szCs w:val="20"/>
                <w:u w:val="none"/>
              </w:rPr>
            </w:pPr>
            <w:r>
              <w:rPr>
                <w:rFonts w:ascii="宋体" w:eastAsia="宋体" w:hAnsi="宋体" w:cs="宋体" w:hint="eastAsia"/>
                <w:i w:val="0"/>
                <w:color w:val="000000"/>
                <w:kern w:val="0"/>
                <w:sz w:val="20"/>
                <w:szCs w:val="20"/>
                <w:u w:val="none"/>
                <w:lang w:val="en-US" w:eastAsia="zh-CN" w:bidi="ar"/>
              </w:rPr>
              <w:t>部门：</w:t>
            </w:r>
          </w:p>
        </w:tc>
        <w:tc>
          <w:tcPr>
            <w:tcW w:w="240" w:type="dxa"/>
            <w:noWrap w:val="0"/>
            <w:vAlign w:val="bottom"/>
          </w:tcPr>
          <w:p>
            <w:pPr>
              <w:rPr>
                <w:rFonts w:ascii="Arial" w:hAnsi="Arial" w:cs="Arial" w:hint="default"/>
                <w:i w:val="0"/>
                <w:color w:val="000000"/>
                <w:sz w:val="20"/>
                <w:szCs w:val="20"/>
                <w:u w:val="none"/>
              </w:rPr>
            </w:pPr>
          </w:p>
        </w:tc>
        <w:tc>
          <w:tcPr>
            <w:tcW w:w="383" w:type="dxa"/>
            <w:noWrap w:val="0"/>
            <w:vAlign w:val="bottom"/>
          </w:tcPr>
          <w:p>
            <w:pPr>
              <w:rPr>
                <w:rFonts w:ascii="Arial" w:hAnsi="Arial" w:cs="Arial" w:hint="default"/>
                <w:i w:val="0"/>
                <w:color w:val="000000"/>
                <w:sz w:val="20"/>
                <w:szCs w:val="20"/>
                <w:u w:val="none"/>
              </w:rPr>
            </w:pPr>
          </w:p>
        </w:tc>
        <w:tc>
          <w:tcPr>
            <w:tcW w:w="690" w:type="dxa"/>
            <w:noWrap w:val="0"/>
            <w:vAlign w:val="bottom"/>
          </w:tcPr>
          <w:p>
            <w:pPr>
              <w:rPr>
                <w:rFonts w:ascii="Arial" w:hAnsi="Arial" w:cs="Arial" w:hint="default"/>
                <w:i w:val="0"/>
                <w:color w:val="000000"/>
                <w:sz w:val="20"/>
                <w:szCs w:val="20"/>
                <w:u w:val="none"/>
              </w:rPr>
            </w:pPr>
          </w:p>
        </w:tc>
        <w:tc>
          <w:tcPr>
            <w:tcW w:w="789" w:type="dxa"/>
            <w:noWrap w:val="0"/>
            <w:vAlign w:val="bottom"/>
          </w:tcPr>
          <w:p>
            <w:pPr>
              <w:rPr>
                <w:rFonts w:ascii="Arial" w:hAnsi="Arial" w:cs="Arial" w:hint="default"/>
                <w:i w:val="0"/>
                <w:color w:val="000000"/>
                <w:sz w:val="20"/>
                <w:szCs w:val="20"/>
                <w:u w:val="none"/>
              </w:rPr>
            </w:pPr>
          </w:p>
        </w:tc>
        <w:tc>
          <w:tcPr>
            <w:tcW w:w="726" w:type="dxa"/>
            <w:noWrap w:val="0"/>
            <w:vAlign w:val="bottom"/>
          </w:tcPr>
          <w:p>
            <w:pPr>
              <w:rPr>
                <w:rFonts w:ascii="Arial" w:hAnsi="Arial" w:cs="Arial" w:hint="default"/>
                <w:i w:val="0"/>
                <w:color w:val="000000"/>
                <w:sz w:val="20"/>
                <w:szCs w:val="20"/>
                <w:u w:val="none"/>
              </w:rPr>
            </w:pPr>
          </w:p>
        </w:tc>
        <w:tc>
          <w:tcPr>
            <w:tcW w:w="928" w:type="dxa"/>
            <w:noWrap w:val="0"/>
            <w:vAlign w:val="bottom"/>
          </w:tcPr>
          <w:p>
            <w:pPr>
              <w:rPr>
                <w:rFonts w:ascii="Arial" w:hAnsi="Arial" w:cs="Arial" w:hint="default"/>
                <w:i w:val="0"/>
                <w:color w:val="000000"/>
                <w:sz w:val="20"/>
                <w:szCs w:val="20"/>
                <w:u w:val="none"/>
              </w:rPr>
            </w:pPr>
          </w:p>
        </w:tc>
        <w:tc>
          <w:tcPr>
            <w:tcW w:w="396" w:type="dxa"/>
            <w:noWrap w:val="0"/>
            <w:vAlign w:val="bottom"/>
          </w:tcPr>
          <w:p>
            <w:pPr>
              <w:rPr>
                <w:rFonts w:ascii="Arial" w:hAnsi="Arial" w:cs="Arial" w:hint="default"/>
                <w:i w:val="0"/>
                <w:color w:val="000000"/>
                <w:sz w:val="20"/>
                <w:szCs w:val="20"/>
                <w:u w:val="none"/>
              </w:rPr>
            </w:pPr>
          </w:p>
        </w:tc>
        <w:tc>
          <w:tcPr>
            <w:tcW w:w="371" w:type="dxa"/>
            <w:noWrap w:val="0"/>
            <w:vAlign w:val="bottom"/>
          </w:tcPr>
          <w:p>
            <w:pPr>
              <w:rPr>
                <w:rFonts w:ascii="Arial" w:hAnsi="Arial" w:cs="Arial" w:hint="default"/>
                <w:i w:val="0"/>
                <w:color w:val="000000"/>
                <w:sz w:val="20"/>
                <w:szCs w:val="20"/>
                <w:u w:val="none"/>
              </w:rPr>
            </w:pPr>
          </w:p>
        </w:tc>
        <w:tc>
          <w:tcPr>
            <w:tcW w:w="506" w:type="dxa"/>
            <w:noWrap w:val="0"/>
            <w:vAlign w:val="bottom"/>
          </w:tcPr>
          <w:p>
            <w:pPr>
              <w:rPr>
                <w:rFonts w:ascii="Arial" w:hAnsi="Arial" w:cs="Arial" w:hint="default"/>
                <w:i w:val="0"/>
                <w:color w:val="000000"/>
                <w:sz w:val="20"/>
                <w:szCs w:val="20"/>
                <w:u w:val="none"/>
              </w:rPr>
            </w:pPr>
          </w:p>
        </w:tc>
        <w:tc>
          <w:tcPr>
            <w:tcW w:w="468" w:type="dxa"/>
            <w:noWrap w:val="0"/>
            <w:vAlign w:val="bottom"/>
          </w:tcPr>
          <w:p>
            <w:pPr>
              <w:rPr>
                <w:rFonts w:ascii="Arial" w:hAnsi="Arial" w:cs="Arial" w:hint="default"/>
                <w:i w:val="0"/>
                <w:color w:val="000000"/>
                <w:sz w:val="20"/>
                <w:szCs w:val="20"/>
                <w:u w:val="none"/>
              </w:rPr>
            </w:pPr>
          </w:p>
        </w:tc>
        <w:tc>
          <w:tcPr>
            <w:tcW w:w="295" w:type="dxa"/>
            <w:noWrap w:val="0"/>
            <w:vAlign w:val="bottom"/>
          </w:tcPr>
          <w:p>
            <w:pPr>
              <w:rPr>
                <w:rFonts w:ascii="Arial" w:hAnsi="Arial" w:cs="Arial" w:hint="default"/>
                <w:i w:val="0"/>
                <w:color w:val="000000"/>
                <w:sz w:val="20"/>
                <w:szCs w:val="20"/>
                <w:u w:val="none"/>
              </w:rPr>
            </w:pPr>
          </w:p>
        </w:tc>
        <w:tc>
          <w:tcPr>
            <w:tcW w:w="468" w:type="dxa"/>
            <w:noWrap w:val="0"/>
            <w:vAlign w:val="bottom"/>
          </w:tcPr>
          <w:p>
            <w:pPr>
              <w:rPr>
                <w:rFonts w:ascii="Arial" w:hAnsi="Arial" w:cs="Arial" w:hint="default"/>
                <w:i w:val="0"/>
                <w:color w:val="000000"/>
                <w:sz w:val="20"/>
                <w:szCs w:val="20"/>
                <w:u w:val="none"/>
              </w:rPr>
            </w:pPr>
          </w:p>
        </w:tc>
        <w:tc>
          <w:tcPr>
            <w:tcW w:w="353" w:type="dxa"/>
            <w:noWrap w:val="0"/>
            <w:vAlign w:val="bottom"/>
          </w:tcPr>
          <w:p>
            <w:pPr>
              <w:rPr>
                <w:rFonts w:ascii="Arial" w:hAnsi="Arial" w:cs="Arial" w:hint="default"/>
                <w:i w:val="0"/>
                <w:color w:val="000000"/>
                <w:sz w:val="20"/>
                <w:szCs w:val="20"/>
                <w:u w:val="none"/>
              </w:rPr>
            </w:pPr>
          </w:p>
        </w:tc>
        <w:tc>
          <w:tcPr>
            <w:tcW w:w="814" w:type="dxa"/>
            <w:noWrap w:val="0"/>
            <w:vAlign w:val="bottom"/>
          </w:tcPr>
          <w:p>
            <w:pPr>
              <w:rPr>
                <w:rFonts w:ascii="Arial" w:hAnsi="Arial" w:cs="Arial" w:hint="default"/>
                <w:i w:val="0"/>
                <w:color w:val="000000"/>
                <w:sz w:val="20"/>
                <w:szCs w:val="20"/>
                <w:u w:val="none"/>
              </w:rPr>
            </w:pPr>
          </w:p>
        </w:tc>
        <w:tc>
          <w:tcPr>
            <w:tcW w:w="468" w:type="dxa"/>
            <w:noWrap w:val="0"/>
            <w:vAlign w:val="bottom"/>
          </w:tcPr>
          <w:p>
            <w:pPr>
              <w:rPr>
                <w:rFonts w:ascii="Arial" w:hAnsi="Arial" w:cs="Arial" w:hint="default"/>
                <w:i w:val="0"/>
                <w:color w:val="000000"/>
                <w:sz w:val="20"/>
                <w:szCs w:val="20"/>
                <w:u w:val="none"/>
              </w:rPr>
            </w:pPr>
          </w:p>
        </w:tc>
        <w:tc>
          <w:tcPr>
            <w:tcW w:w="1383" w:type="dxa"/>
            <w:gridSpan w:val="2"/>
            <w:noWrap w:val="0"/>
            <w:vAlign w:val="bottom"/>
          </w:tcPr>
          <w:p>
            <w:pPr>
              <w:keepNext w:val="0"/>
              <w:keepLines w:val="0"/>
              <w:widowControl/>
              <w:suppressLineNumbers w:val="0"/>
              <w:jc w:val="right"/>
              <w:textAlignment w:val="bottom"/>
              <w:rPr>
                <w:rFonts w:ascii="宋体" w:eastAsia="宋体" w:hAnsi="宋体" w:cs="宋体" w:hint="eastAsia"/>
                <w:i w:val="0"/>
                <w:color w:val="000000"/>
                <w:sz w:val="20"/>
                <w:szCs w:val="20"/>
                <w:u w:val="none"/>
              </w:rPr>
            </w:pPr>
            <w:r>
              <w:rPr>
                <w:rFonts w:ascii="宋体" w:eastAsia="宋体" w:hAnsi="宋体" w:cs="宋体" w:hint="eastAsia"/>
                <w:i w:val="0"/>
                <w:color w:val="000000"/>
                <w:kern w:val="0"/>
                <w:sz w:val="20"/>
                <w:szCs w:val="20"/>
                <w:u w:val="none"/>
                <w:lang w:val="en-US" w:eastAsia="zh-CN" w:bidi="ar"/>
              </w:rPr>
              <w:t>金额单位：万元</w:t>
            </w:r>
          </w:p>
        </w:tc>
      </w:tr>
      <w:tr>
        <w:tblPrEx>
          <w:tblW w:w="9930" w:type="dxa"/>
          <w:tblInd w:w="-150" w:type="dxa"/>
          <w:tblLayout w:type="fixed"/>
        </w:tblPrEx>
        <w:trPr>
          <w:trHeight w:val="300"/>
        </w:trPr>
        <w:tc>
          <w:tcPr>
            <w:tcW w:w="1275" w:type="dxa"/>
            <w:gridSpan w:val="4"/>
            <w:vMerge w:val="restart"/>
            <w:tcBorders>
              <w:top w:val="single" w:sz="4" w:space="0" w:color="000000"/>
              <w:left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科目编码</w:t>
            </w:r>
          </w:p>
        </w:tc>
        <w:tc>
          <w:tcPr>
            <w:tcW w:w="690" w:type="dxa"/>
            <w:vMerge w:val="restart"/>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科目名称</w:t>
            </w:r>
          </w:p>
        </w:tc>
        <w:tc>
          <w:tcPr>
            <w:tcW w:w="2443" w:type="dxa"/>
            <w:gridSpan w:val="3"/>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年初结转和结余</w:t>
            </w:r>
          </w:p>
        </w:tc>
        <w:tc>
          <w:tcPr>
            <w:tcW w:w="1273" w:type="dxa"/>
            <w:gridSpan w:val="3"/>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本年收入</w:t>
            </w:r>
          </w:p>
        </w:tc>
        <w:tc>
          <w:tcPr>
            <w:tcW w:w="1231" w:type="dxa"/>
            <w:gridSpan w:val="3"/>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本年支出</w:t>
            </w:r>
          </w:p>
        </w:tc>
        <w:tc>
          <w:tcPr>
            <w:tcW w:w="3018" w:type="dxa"/>
            <w:gridSpan w:val="5"/>
            <w:tcBorders>
              <w:top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年末结转和结余</w:t>
            </w:r>
          </w:p>
        </w:tc>
      </w:tr>
      <w:tr>
        <w:tblPrEx>
          <w:tblW w:w="9930" w:type="dxa"/>
          <w:tblInd w:w="-150" w:type="dxa"/>
          <w:tblLayout w:type="fixed"/>
        </w:tblPrEx>
        <w:trPr>
          <w:trHeight w:val="300"/>
        </w:trPr>
        <w:tc>
          <w:tcPr>
            <w:tcW w:w="1275" w:type="dxa"/>
            <w:gridSpan w:val="4"/>
            <w:vMerge/>
            <w:tcBorders>
              <w:top w:val="single" w:sz="4" w:space="0" w:color="000000"/>
              <w:left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690" w:type="dxa"/>
            <w:vMerge/>
            <w:tcBorders>
              <w:top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789"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合计</w:t>
            </w:r>
          </w:p>
        </w:tc>
        <w:tc>
          <w:tcPr>
            <w:tcW w:w="726"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基本支出结转</w:t>
            </w:r>
          </w:p>
        </w:tc>
        <w:tc>
          <w:tcPr>
            <w:tcW w:w="928"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项目支出结转和结余</w:t>
            </w:r>
          </w:p>
        </w:tc>
        <w:tc>
          <w:tcPr>
            <w:tcW w:w="396"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合计</w:t>
            </w:r>
          </w:p>
        </w:tc>
        <w:tc>
          <w:tcPr>
            <w:tcW w:w="371"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基本支出</w:t>
            </w:r>
          </w:p>
        </w:tc>
        <w:tc>
          <w:tcPr>
            <w:tcW w:w="506"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项目支出</w:t>
            </w:r>
          </w:p>
        </w:tc>
        <w:tc>
          <w:tcPr>
            <w:tcW w:w="468"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合计</w:t>
            </w:r>
          </w:p>
        </w:tc>
        <w:tc>
          <w:tcPr>
            <w:tcW w:w="295"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基本支出</w:t>
            </w:r>
          </w:p>
        </w:tc>
        <w:tc>
          <w:tcPr>
            <w:tcW w:w="468"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项目支出</w:t>
            </w:r>
          </w:p>
        </w:tc>
        <w:tc>
          <w:tcPr>
            <w:tcW w:w="353"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合计</w:t>
            </w:r>
          </w:p>
        </w:tc>
        <w:tc>
          <w:tcPr>
            <w:tcW w:w="814"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基本支出结转</w:t>
            </w:r>
          </w:p>
        </w:tc>
        <w:tc>
          <w:tcPr>
            <w:tcW w:w="1851" w:type="dxa"/>
            <w:gridSpan w:val="3"/>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项目支出结转和结余</w:t>
            </w:r>
          </w:p>
        </w:tc>
      </w:tr>
      <w:tr>
        <w:tblPrEx>
          <w:tblW w:w="9930" w:type="dxa"/>
          <w:tblInd w:w="-150" w:type="dxa"/>
          <w:tblLayout w:type="fixed"/>
        </w:tblPrEx>
        <w:trPr>
          <w:trHeight w:val="300"/>
        </w:trPr>
        <w:tc>
          <w:tcPr>
            <w:tcW w:w="1275" w:type="dxa"/>
            <w:gridSpan w:val="4"/>
            <w:vMerge/>
            <w:tcBorders>
              <w:top w:val="single" w:sz="4" w:space="0" w:color="000000"/>
              <w:left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690" w:type="dxa"/>
            <w:vMerge/>
            <w:tcBorders>
              <w:top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789"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726"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2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96"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71"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506"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46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295"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46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53"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814"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28" w:type="dxa"/>
            <w:gridSpan w:val="2"/>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项目支出结转</w:t>
            </w:r>
          </w:p>
        </w:tc>
        <w:tc>
          <w:tcPr>
            <w:tcW w:w="923"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项目支出结余</w:t>
            </w:r>
          </w:p>
        </w:tc>
      </w:tr>
      <w:tr>
        <w:tblPrEx>
          <w:tblW w:w="9930" w:type="dxa"/>
          <w:tblInd w:w="-150" w:type="dxa"/>
          <w:tblLayout w:type="fixed"/>
        </w:tblPrEx>
        <w:trPr>
          <w:trHeight w:val="615"/>
        </w:trPr>
        <w:tc>
          <w:tcPr>
            <w:tcW w:w="1275" w:type="dxa"/>
            <w:gridSpan w:val="4"/>
            <w:vMerge/>
            <w:tcBorders>
              <w:top w:val="single" w:sz="4" w:space="0" w:color="000000"/>
              <w:left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690" w:type="dxa"/>
            <w:vMerge/>
            <w:tcBorders>
              <w:top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789"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726"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2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96"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71"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506"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46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295"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468"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53"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814"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28" w:type="dxa"/>
            <w:gridSpan w:val="2"/>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923"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r>
      <w:tr>
        <w:tblPrEx>
          <w:tblW w:w="9930" w:type="dxa"/>
          <w:tblInd w:w="-150" w:type="dxa"/>
          <w:tblLayout w:type="fixed"/>
        </w:tblPrEx>
        <w:trPr>
          <w:trHeight w:val="300"/>
        </w:trPr>
        <w:tc>
          <w:tcPr>
            <w:tcW w:w="569" w:type="dxa"/>
            <w:vMerge w:val="restart"/>
            <w:tcBorders>
              <w:left w:val="single" w:sz="4" w:space="0" w:color="000000"/>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类</w:t>
            </w:r>
          </w:p>
        </w:tc>
        <w:tc>
          <w:tcPr>
            <w:tcW w:w="323" w:type="dxa"/>
            <w:gridSpan w:val="2"/>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款</w:t>
            </w:r>
          </w:p>
        </w:tc>
        <w:tc>
          <w:tcPr>
            <w:tcW w:w="383" w:type="dxa"/>
            <w:vMerge w:val="restart"/>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项</w:t>
            </w:r>
          </w:p>
        </w:tc>
        <w:tc>
          <w:tcPr>
            <w:tcW w:w="690"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栏次</w:t>
            </w:r>
          </w:p>
        </w:tc>
        <w:tc>
          <w:tcPr>
            <w:tcW w:w="789"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1</w:t>
            </w:r>
          </w:p>
        </w:tc>
        <w:tc>
          <w:tcPr>
            <w:tcW w:w="726"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2</w:t>
            </w:r>
          </w:p>
        </w:tc>
        <w:tc>
          <w:tcPr>
            <w:tcW w:w="928"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3</w:t>
            </w:r>
          </w:p>
        </w:tc>
        <w:tc>
          <w:tcPr>
            <w:tcW w:w="396"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4</w:t>
            </w:r>
          </w:p>
        </w:tc>
        <w:tc>
          <w:tcPr>
            <w:tcW w:w="371"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5</w:t>
            </w:r>
          </w:p>
        </w:tc>
        <w:tc>
          <w:tcPr>
            <w:tcW w:w="506"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6</w:t>
            </w:r>
          </w:p>
        </w:tc>
        <w:tc>
          <w:tcPr>
            <w:tcW w:w="468"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7</w:t>
            </w:r>
          </w:p>
        </w:tc>
        <w:tc>
          <w:tcPr>
            <w:tcW w:w="295"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8</w:t>
            </w:r>
          </w:p>
        </w:tc>
        <w:tc>
          <w:tcPr>
            <w:tcW w:w="468"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9</w:t>
            </w:r>
          </w:p>
        </w:tc>
        <w:tc>
          <w:tcPr>
            <w:tcW w:w="353"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10</w:t>
            </w:r>
          </w:p>
        </w:tc>
        <w:tc>
          <w:tcPr>
            <w:tcW w:w="814"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11</w:t>
            </w:r>
          </w:p>
        </w:tc>
        <w:tc>
          <w:tcPr>
            <w:tcW w:w="928" w:type="dxa"/>
            <w:gridSpan w:val="2"/>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12</w:t>
            </w:r>
          </w:p>
        </w:tc>
        <w:tc>
          <w:tcPr>
            <w:tcW w:w="923"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13</w:t>
            </w:r>
          </w:p>
        </w:tc>
      </w:tr>
      <w:tr>
        <w:tblPrEx>
          <w:tblW w:w="9930" w:type="dxa"/>
          <w:tblInd w:w="-150" w:type="dxa"/>
          <w:tblLayout w:type="fixed"/>
        </w:tblPrEx>
        <w:trPr>
          <w:trHeight w:val="300"/>
        </w:trPr>
        <w:tc>
          <w:tcPr>
            <w:tcW w:w="569" w:type="dxa"/>
            <w:vMerge/>
            <w:tcBorders>
              <w:left w:val="single" w:sz="4" w:space="0" w:color="000000"/>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23" w:type="dxa"/>
            <w:gridSpan w:val="2"/>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383" w:type="dxa"/>
            <w:vMerge/>
            <w:tcBorders>
              <w:bottom w:val="single" w:sz="4" w:space="0" w:color="000000"/>
              <w:right w:val="single" w:sz="4" w:space="0" w:color="000000"/>
            </w:tcBorders>
            <w:noWrap w:val="0"/>
            <w:vAlign w:val="center"/>
          </w:tcPr>
          <w:p>
            <w:pPr>
              <w:jc w:val="center"/>
              <w:rPr>
                <w:rFonts w:ascii="宋体" w:eastAsia="宋体" w:hAnsi="宋体" w:cs="宋体" w:hint="eastAsia"/>
                <w:i w:val="0"/>
                <w:color w:val="000000"/>
                <w:sz w:val="22"/>
                <w:szCs w:val="22"/>
                <w:u w:val="none"/>
              </w:rPr>
            </w:pPr>
          </w:p>
        </w:tc>
        <w:tc>
          <w:tcPr>
            <w:tcW w:w="690" w:type="dxa"/>
            <w:tcBorders>
              <w:bottom w:val="single" w:sz="4" w:space="0" w:color="000000"/>
              <w:right w:val="single" w:sz="4" w:space="0" w:color="000000"/>
            </w:tcBorders>
            <w:noWrap w:val="0"/>
            <w:vAlign w:val="center"/>
          </w:tcPr>
          <w:p>
            <w:pPr>
              <w:keepNext w:val="0"/>
              <w:keepLines w:val="0"/>
              <w:widowControl/>
              <w:suppressLineNumbers w:val="0"/>
              <w:jc w:val="center"/>
              <w:textAlignment w:val="center"/>
              <w:rPr>
                <w:rFonts w:ascii="宋体" w:eastAsia="宋体" w:hAnsi="宋体" w:cs="宋体" w:hint="eastAsia"/>
                <w:i w:val="0"/>
                <w:color w:val="000000"/>
                <w:sz w:val="22"/>
                <w:szCs w:val="22"/>
                <w:u w:val="none"/>
              </w:rPr>
            </w:pPr>
            <w:r>
              <w:rPr>
                <w:rFonts w:ascii="宋体" w:eastAsia="宋体" w:hAnsi="宋体" w:cs="宋体" w:hint="eastAsia"/>
                <w:i w:val="0"/>
                <w:color w:val="000000"/>
                <w:kern w:val="0"/>
                <w:sz w:val="22"/>
                <w:szCs w:val="22"/>
                <w:u w:val="none"/>
                <w:lang w:val="en-US" w:eastAsia="zh-CN" w:bidi="ar"/>
              </w:rPr>
              <w:t>合计</w:t>
            </w:r>
          </w:p>
        </w:tc>
        <w:tc>
          <w:tcPr>
            <w:tcW w:w="789"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726"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928"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396"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371"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506"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468"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295"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468"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353"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814"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928" w:type="dxa"/>
            <w:gridSpan w:val="2"/>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c>
          <w:tcPr>
            <w:tcW w:w="923" w:type="dxa"/>
            <w:tcBorders>
              <w:bottom w:val="single" w:sz="4" w:space="0" w:color="000000"/>
              <w:right w:val="single" w:sz="4" w:space="0" w:color="000000"/>
            </w:tcBorders>
            <w:noWrap w:val="0"/>
            <w:vAlign w:val="center"/>
          </w:tcPr>
          <w:p>
            <w:pPr>
              <w:jc w:val="right"/>
              <w:rPr>
                <w:rFonts w:ascii="宋体" w:eastAsia="宋体" w:hAnsi="宋体" w:cs="宋体" w:hint="eastAsia"/>
                <w:b/>
                <w:i w:val="0"/>
                <w:color w:val="000000"/>
                <w:sz w:val="22"/>
                <w:szCs w:val="22"/>
                <w:u w:val="none"/>
              </w:rPr>
            </w:pPr>
          </w:p>
        </w:tc>
      </w:tr>
      <w:tr>
        <w:tblPrEx>
          <w:tblW w:w="9930" w:type="dxa"/>
          <w:tblInd w:w="-150" w:type="dxa"/>
          <w:tblLayout w:type="fixed"/>
        </w:tblPrEx>
        <w:trPr>
          <w:trHeight w:val="300"/>
        </w:trPr>
        <w:tc>
          <w:tcPr>
            <w:tcW w:w="1275" w:type="dxa"/>
            <w:gridSpan w:val="4"/>
            <w:tcBorders>
              <w:left w:val="single" w:sz="4" w:space="0" w:color="000000"/>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690" w:type="dxa"/>
            <w:tcBorders>
              <w:bottom w:val="single" w:sz="4" w:space="0" w:color="000000"/>
              <w:right w:val="single" w:sz="4" w:space="0" w:color="000000"/>
            </w:tcBorders>
            <w:noWrap w:val="0"/>
            <w:vAlign w:val="center"/>
          </w:tcPr>
          <w:p>
            <w:pPr>
              <w:jc w:val="left"/>
              <w:rPr>
                <w:rFonts w:ascii="宋体" w:eastAsia="宋体" w:hAnsi="宋体" w:cs="宋体" w:hint="eastAsia"/>
                <w:i w:val="0"/>
                <w:color w:val="000000"/>
                <w:sz w:val="22"/>
                <w:szCs w:val="22"/>
                <w:u w:val="none"/>
              </w:rPr>
            </w:pPr>
          </w:p>
        </w:tc>
        <w:tc>
          <w:tcPr>
            <w:tcW w:w="789"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726"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28"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396"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371"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506"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468"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295"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468"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353"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814"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28" w:type="dxa"/>
            <w:gridSpan w:val="2"/>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c>
          <w:tcPr>
            <w:tcW w:w="923" w:type="dxa"/>
            <w:tcBorders>
              <w:bottom w:val="single" w:sz="4" w:space="0" w:color="000000"/>
              <w:right w:val="single" w:sz="4" w:space="0" w:color="000000"/>
            </w:tcBorders>
            <w:noWrap w:val="0"/>
            <w:vAlign w:val="center"/>
          </w:tcPr>
          <w:p>
            <w:pPr>
              <w:jc w:val="right"/>
              <w:rPr>
                <w:rFonts w:ascii="宋体" w:eastAsia="宋体" w:hAnsi="宋体" w:cs="宋体" w:hint="eastAsia"/>
                <w:i w:val="0"/>
                <w:color w:val="000000"/>
                <w:sz w:val="22"/>
                <w:szCs w:val="22"/>
                <w:u w:val="none"/>
              </w:rPr>
            </w:pPr>
          </w:p>
        </w:tc>
      </w:tr>
    </w:tbl>
    <w:p>
      <w:pPr>
        <w:rPr>
          <w:rFonts w:ascii="黑体" w:eastAsia="黑体" w:hAnsi="黑体" w:hint="eastAsia"/>
          <w:sz w:val="32"/>
          <w:szCs w:val="32"/>
        </w:rPr>
      </w:pPr>
      <w:r>
        <w:rPr>
          <w:rFonts w:ascii="宋体" w:eastAsia="宋体" w:hAnsi="宋体" w:cs="宋体" w:hint="eastAsia"/>
          <w:color w:val="000000"/>
          <w:kern w:val="0"/>
          <w:sz w:val="22"/>
          <w:szCs w:val="22"/>
          <w:lang w:val="en-US" w:eastAsia="zh-CN" w:bidi="zh-CN"/>
        </w:rPr>
        <w:t>注：本表反映部门本年度政府性基金预算财政拨款收入、支出及结转和结余情况。</w:t>
      </w:r>
    </w:p>
    <w:p>
      <w:pPr>
        <w:ind w:firstLine="640" w:firstLineChars="200"/>
        <w:rPr>
          <w:rFonts w:ascii="黑体" w:eastAsia="黑体" w:hAnsi="黑体" w:hint="eastAsia"/>
          <w:sz w:val="32"/>
          <w:szCs w:val="32"/>
          <w:highlight w:val="none"/>
          <w:lang w:val="en-US" w:eastAsia="zh-CN"/>
        </w:rPr>
      </w:pPr>
      <w:r>
        <w:rPr>
          <w:rFonts w:ascii="楷体_GB2312" w:eastAsia="楷体_GB2312" w:hAnsi="仿宋" w:hint="eastAsia"/>
          <w:sz w:val="32"/>
          <w:szCs w:val="32"/>
          <w:lang w:val="en-US" w:eastAsia="zh-CN"/>
        </w:rPr>
        <w:t>我</w:t>
      </w:r>
      <w:r>
        <w:rPr>
          <w:rFonts w:ascii="楷体_GB2312" w:eastAsia="楷体_GB2312" w:hAnsi="仿宋" w:hint="eastAsia"/>
          <w:sz w:val="32"/>
          <w:szCs w:val="32"/>
        </w:rPr>
        <w:t>单位没有政府性基金收入，也没有使用政府性基金安排的支出，故此表无数据。</w:t>
      </w:r>
    </w:p>
    <w:p>
      <w:pPr>
        <w:ind w:firstLine="640" w:firstLineChars="200"/>
        <w:jc w:val="center"/>
        <w:rPr>
          <w:rFonts w:ascii="黑体" w:eastAsia="黑体" w:hAnsi="黑体" w:hint="eastAsia"/>
          <w:sz w:val="32"/>
          <w:szCs w:val="32"/>
          <w:highlight w:val="none"/>
          <w:lang w:val="en-US" w:eastAsia="zh-CN"/>
        </w:rPr>
      </w:pPr>
    </w:p>
    <w:p>
      <w:pPr>
        <w:ind w:firstLine="640" w:firstLineChars="200"/>
        <w:jc w:val="center"/>
        <w:rPr>
          <w:rFonts w:ascii="黑体" w:eastAsia="黑体" w:hAnsi="黑体" w:hint="eastAsia"/>
          <w:sz w:val="32"/>
          <w:szCs w:val="32"/>
          <w:highlight w:val="none"/>
        </w:rPr>
      </w:pPr>
      <w:r>
        <w:rPr>
          <w:rFonts w:ascii="黑体" w:eastAsia="黑体" w:hAnsi="黑体" w:hint="eastAsia"/>
          <w:sz w:val="32"/>
          <w:szCs w:val="32"/>
          <w:highlight w:val="none"/>
          <w:lang w:val="en-US" w:eastAsia="zh-CN"/>
        </w:rPr>
        <w:t>八、</w:t>
      </w:r>
      <w:r>
        <w:rPr>
          <w:rFonts w:ascii="黑体" w:eastAsia="黑体" w:hAnsi="黑体" w:hint="eastAsia"/>
          <w:sz w:val="32"/>
          <w:szCs w:val="32"/>
          <w:highlight w:val="none"/>
        </w:rPr>
        <w:t>国有资本经营预算财政拨款支出决算表</w:t>
      </w:r>
    </w:p>
    <w:tbl>
      <w:tblPr>
        <w:tblStyle w:val="TableNormal"/>
        <w:tblW w:w="0" w:type="auto"/>
        <w:tblInd w:w="93" w:type="dxa"/>
        <w:tblLayout w:type="fixed"/>
        <w:tblCellMar>
          <w:top w:w="15" w:type="dxa"/>
          <w:left w:w="108" w:type="dxa"/>
          <w:bottom w:w="15" w:type="dxa"/>
          <w:right w:w="108" w:type="dxa"/>
        </w:tblCellMar>
      </w:tblPr>
      <w:tblGrid>
        <w:gridCol w:w="573"/>
        <w:gridCol w:w="573"/>
        <w:gridCol w:w="574"/>
        <w:gridCol w:w="1425"/>
        <w:gridCol w:w="1252"/>
        <w:gridCol w:w="2191"/>
        <w:gridCol w:w="2191"/>
      </w:tblGrid>
      <w:tr>
        <w:tblPrEx>
          <w:tblW w:w="0" w:type="auto"/>
          <w:tblInd w:w="93" w:type="dxa"/>
          <w:tblLayout w:type="fixed"/>
        </w:tblPrEx>
        <w:trPr>
          <w:trHeight w:val="360"/>
        </w:trPr>
        <w:tc>
          <w:tcPr>
            <w:tcW w:w="8779" w:type="dxa"/>
            <w:gridSpan w:val="7"/>
            <w:noWrap w:val="0"/>
            <w:vAlign w:val="bottom"/>
          </w:tcPr>
          <w:p>
            <w:pPr>
              <w:widowControl/>
              <w:ind w:firstLine="7276" w:firstLineChars="3638"/>
              <w:jc w:val="left"/>
              <w:rPr>
                <w:rFonts w:ascii="Arial" w:eastAsia="宋体" w:hAnsi="Arial" w:cs="宋体"/>
                <w:color w:val="000000"/>
                <w:kern w:val="0"/>
                <w:sz w:val="20"/>
                <w:szCs w:val="20"/>
                <w:highlight w:val="none"/>
              </w:rPr>
            </w:pPr>
            <w:r>
              <w:rPr>
                <w:rFonts w:ascii="宋体" w:eastAsia="宋体" w:hAnsi="宋体" w:cs="宋体" w:hint="eastAsia"/>
                <w:color w:val="000000"/>
                <w:kern w:val="0"/>
                <w:sz w:val="20"/>
                <w:szCs w:val="20"/>
                <w:highlight w:val="none"/>
              </w:rPr>
              <w:t>公开08表</w:t>
            </w:r>
          </w:p>
        </w:tc>
      </w:tr>
      <w:tr>
        <w:tblPrEx>
          <w:tblW w:w="0" w:type="auto"/>
          <w:tblInd w:w="93" w:type="dxa"/>
          <w:tblLayout w:type="fixed"/>
        </w:tblPrEx>
        <w:trPr>
          <w:trHeight w:val="450"/>
        </w:trPr>
        <w:tc>
          <w:tcPr>
            <w:tcW w:w="8779" w:type="dxa"/>
            <w:gridSpan w:val="7"/>
            <w:tcBorders>
              <w:bottom w:val="single" w:sz="4" w:space="0" w:color="auto"/>
            </w:tcBorders>
            <w:noWrap w:val="0"/>
            <w:vAlign w:val="center"/>
          </w:tcPr>
          <w:p>
            <w:pPr>
              <w:widowControl/>
              <w:jc w:val="left"/>
              <w:rPr>
                <w:rFonts w:ascii="Arial" w:eastAsia="宋体" w:hAnsi="Arial" w:cs="宋体"/>
                <w:color w:val="000000"/>
                <w:kern w:val="0"/>
                <w:sz w:val="20"/>
                <w:szCs w:val="20"/>
                <w:highlight w:val="none"/>
              </w:rPr>
            </w:pPr>
            <w:r>
              <w:rPr>
                <w:rFonts w:ascii="宋体" w:eastAsia="宋体" w:hAnsi="宋体" w:cs="宋体" w:hint="eastAsia"/>
                <w:kern w:val="0"/>
                <w:sz w:val="20"/>
                <w:szCs w:val="20"/>
                <w:highlight w:val="none"/>
              </w:rPr>
              <w:t xml:space="preserve">部门：                                                               </w:t>
            </w:r>
            <w:r>
              <w:rPr>
                <w:rFonts w:ascii="宋体" w:eastAsia="宋体" w:hAnsi="宋体" w:cs="宋体" w:hint="eastAsia"/>
                <w:color w:val="000000"/>
                <w:kern w:val="0"/>
                <w:sz w:val="20"/>
                <w:szCs w:val="20"/>
                <w:highlight w:val="none"/>
              </w:rPr>
              <w:t>金额单位：万元</w:t>
            </w:r>
          </w:p>
        </w:tc>
      </w:tr>
      <w:tr>
        <w:tblPrEx>
          <w:tblW w:w="0" w:type="auto"/>
          <w:tblInd w:w="93" w:type="dxa"/>
          <w:tblLayout w:type="fixed"/>
        </w:tblPrEx>
        <w:trPr>
          <w:trHeight w:val="781"/>
        </w:trPr>
        <w:tc>
          <w:tcPr>
            <w:tcW w:w="1720" w:type="dxa"/>
            <w:gridSpan w:val="3"/>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highlight w:val="none"/>
              </w:rPr>
            </w:pPr>
            <w:r>
              <w:rPr>
                <w:rFonts w:ascii="宋体" w:eastAsia="宋体" w:hAnsi="宋体" w:cs="宋体" w:hint="eastAsia"/>
                <w:color w:val="000000"/>
                <w:kern w:val="0"/>
                <w:sz w:val="22"/>
                <w:szCs w:val="22"/>
                <w:highlight w:val="none"/>
              </w:rPr>
              <w:t>科目编码</w:t>
            </w:r>
          </w:p>
        </w:tc>
        <w:tc>
          <w:tcPr>
            <w:tcW w:w="1425"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highlight w:val="none"/>
              </w:rPr>
            </w:pPr>
            <w:r>
              <w:rPr>
                <w:rFonts w:ascii="宋体" w:eastAsia="宋体" w:hAnsi="宋体" w:cs="宋体" w:hint="eastAsia"/>
                <w:color w:val="000000"/>
                <w:kern w:val="0"/>
                <w:sz w:val="22"/>
                <w:szCs w:val="22"/>
                <w:highlight w:val="none"/>
              </w:rPr>
              <w:t>科目名称</w:t>
            </w:r>
          </w:p>
        </w:tc>
        <w:tc>
          <w:tcPr>
            <w:tcW w:w="5634" w:type="dxa"/>
            <w:gridSpan w:val="3"/>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highlight w:val="none"/>
              </w:rPr>
            </w:pPr>
            <w:r>
              <w:rPr>
                <w:rFonts w:ascii="宋体" w:eastAsia="宋体" w:hAnsi="宋体" w:cs="宋体" w:hint="eastAsia"/>
                <w:color w:val="000000"/>
                <w:kern w:val="0"/>
                <w:sz w:val="22"/>
                <w:szCs w:val="22"/>
                <w:highlight w:val="none"/>
              </w:rPr>
              <w:t>本年支出</w:t>
            </w:r>
          </w:p>
        </w:tc>
      </w:tr>
      <w:tr>
        <w:tblPrEx>
          <w:tblW w:w="0" w:type="auto"/>
          <w:tblInd w:w="93" w:type="dxa"/>
          <w:tblLayout w:type="fixed"/>
        </w:tblPrEx>
        <w:trPr>
          <w:trHeight w:val="300"/>
        </w:trPr>
        <w:tc>
          <w:tcPr>
            <w:tcW w:w="1720" w:type="dxa"/>
            <w:gridSpan w:val="3"/>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425"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252"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highlight w:val="none"/>
              </w:rPr>
            </w:pPr>
            <w:r>
              <w:rPr>
                <w:rFonts w:ascii="宋体" w:eastAsia="宋体" w:hAnsi="宋体" w:cs="宋体" w:hint="eastAsia"/>
                <w:color w:val="000000"/>
                <w:kern w:val="0"/>
                <w:sz w:val="22"/>
                <w:szCs w:val="22"/>
                <w:highlight w:val="none"/>
              </w:rPr>
              <w:t>合计</w:t>
            </w:r>
          </w:p>
        </w:tc>
        <w:tc>
          <w:tcPr>
            <w:tcW w:w="2191"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highlight w:val="none"/>
              </w:rPr>
            </w:pPr>
            <w:r>
              <w:rPr>
                <w:rFonts w:ascii="宋体" w:eastAsia="宋体" w:hAnsi="宋体" w:cs="宋体" w:hint="eastAsia"/>
                <w:color w:val="000000"/>
                <w:kern w:val="0"/>
                <w:sz w:val="22"/>
                <w:szCs w:val="22"/>
                <w:highlight w:val="none"/>
              </w:rPr>
              <w:t>基本支出</w:t>
            </w:r>
          </w:p>
        </w:tc>
        <w:tc>
          <w:tcPr>
            <w:tcW w:w="2191" w:type="dxa"/>
            <w:vMerge w:val="restart"/>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highlight w:val="none"/>
              </w:rPr>
            </w:pPr>
            <w:r>
              <w:rPr>
                <w:rFonts w:ascii="宋体" w:eastAsia="宋体" w:hAnsi="宋体" w:cs="宋体" w:hint="eastAsia"/>
                <w:color w:val="000000"/>
                <w:kern w:val="0"/>
                <w:sz w:val="22"/>
                <w:szCs w:val="22"/>
                <w:highlight w:val="none"/>
              </w:rPr>
              <w:t>项目支出</w:t>
            </w:r>
          </w:p>
        </w:tc>
      </w:tr>
      <w:tr>
        <w:tblPrEx>
          <w:tblW w:w="0" w:type="auto"/>
          <w:tblInd w:w="93" w:type="dxa"/>
          <w:tblLayout w:type="fixed"/>
        </w:tblPrEx>
        <w:trPr>
          <w:trHeight w:val="286"/>
        </w:trPr>
        <w:tc>
          <w:tcPr>
            <w:tcW w:w="1720" w:type="dxa"/>
            <w:gridSpan w:val="3"/>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425"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252"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r>
      <w:tr>
        <w:tblPrEx>
          <w:tblW w:w="0" w:type="auto"/>
          <w:tblInd w:w="93" w:type="dxa"/>
          <w:tblLayout w:type="fixed"/>
        </w:tblPrEx>
        <w:trPr>
          <w:trHeight w:val="454"/>
        </w:trPr>
        <w:tc>
          <w:tcPr>
            <w:tcW w:w="1720" w:type="dxa"/>
            <w:gridSpan w:val="3"/>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425"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252"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2191" w:type="dxa"/>
            <w:vMerge/>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r>
      <w:tr>
        <w:tblPrEx>
          <w:tblW w:w="0" w:type="auto"/>
          <w:tblInd w:w="93" w:type="dxa"/>
          <w:tblLayout w:type="fixed"/>
        </w:tblPrEx>
        <w:trPr>
          <w:trHeight w:val="673"/>
        </w:trPr>
        <w:tc>
          <w:tcPr>
            <w:tcW w:w="573"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hint="eastAsia"/>
                <w:color w:val="000000"/>
                <w:kern w:val="0"/>
                <w:sz w:val="22"/>
                <w:szCs w:val="22"/>
                <w:highlight w:val="none"/>
              </w:rPr>
            </w:pPr>
            <w:r>
              <w:rPr>
                <w:rFonts w:ascii="宋体" w:eastAsia="宋体" w:hAnsi="宋体" w:cs="宋体" w:hint="eastAsia"/>
                <w:color w:val="000000"/>
                <w:kern w:val="0"/>
                <w:sz w:val="22"/>
                <w:szCs w:val="22"/>
                <w:highlight w:val="none"/>
              </w:rPr>
              <w:t>类</w:t>
            </w:r>
          </w:p>
        </w:tc>
        <w:tc>
          <w:tcPr>
            <w:tcW w:w="573"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hint="eastAsia"/>
                <w:color w:val="000000"/>
                <w:kern w:val="0"/>
                <w:sz w:val="22"/>
                <w:szCs w:val="22"/>
                <w:highlight w:val="none"/>
              </w:rPr>
            </w:pPr>
            <w:r>
              <w:rPr>
                <w:rFonts w:ascii="宋体" w:eastAsia="宋体" w:hAnsi="宋体" w:cs="宋体" w:hint="eastAsia"/>
                <w:color w:val="000000"/>
                <w:kern w:val="0"/>
                <w:sz w:val="22"/>
                <w:szCs w:val="22"/>
                <w:highlight w:val="none"/>
              </w:rPr>
              <w:t>款</w:t>
            </w:r>
          </w:p>
        </w:tc>
        <w:tc>
          <w:tcPr>
            <w:tcW w:w="574"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hint="eastAsia"/>
                <w:color w:val="000000"/>
                <w:kern w:val="0"/>
                <w:sz w:val="22"/>
                <w:szCs w:val="22"/>
                <w:highlight w:val="none"/>
              </w:rPr>
            </w:pPr>
            <w:r>
              <w:rPr>
                <w:rFonts w:ascii="宋体" w:eastAsia="宋体" w:hAnsi="宋体" w:cs="宋体" w:hint="eastAsia"/>
                <w:color w:val="000000"/>
                <w:kern w:val="0"/>
                <w:sz w:val="22"/>
                <w:szCs w:val="22"/>
                <w:highlight w:val="none"/>
              </w:rPr>
              <w:t>项</w:t>
            </w:r>
          </w:p>
        </w:tc>
        <w:tc>
          <w:tcPr>
            <w:tcW w:w="1425"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宋体" w:hAnsi="宋体" w:cs="宋体"/>
                <w:color w:val="000000"/>
                <w:kern w:val="0"/>
                <w:sz w:val="22"/>
                <w:szCs w:val="22"/>
                <w:highlight w:val="none"/>
              </w:rPr>
            </w:pPr>
            <w:r>
              <w:rPr>
                <w:rFonts w:ascii="宋体" w:eastAsia="宋体" w:hAnsi="宋体" w:cs="宋体" w:hint="eastAsia"/>
                <w:color w:val="000000"/>
                <w:kern w:val="0"/>
                <w:sz w:val="22"/>
                <w:szCs w:val="22"/>
                <w:highlight w:val="none"/>
              </w:rPr>
              <w:t>合计</w:t>
            </w:r>
          </w:p>
        </w:tc>
        <w:tc>
          <w:tcPr>
            <w:tcW w:w="1252" w:type="dxa"/>
            <w:tcBorders>
              <w:top w:val="single" w:sz="4" w:space="0" w:color="auto"/>
              <w:left w:val="single" w:sz="4" w:space="0" w:color="auto"/>
              <w:bottom w:val="single" w:sz="4" w:space="0" w:color="auto"/>
              <w:right w:val="single" w:sz="4" w:space="0" w:color="auto"/>
            </w:tcBorders>
            <w:noWrap w:val="0"/>
            <w:vAlign w:val="center"/>
          </w:tcPr>
          <w:p>
            <w:pPr>
              <w:widowControl/>
              <w:jc w:val="right"/>
              <w:rPr>
                <w:rFonts w:ascii="宋体" w:eastAsia="宋体" w:hAnsi="宋体" w:cs="宋体"/>
                <w:b/>
                <w:bCs/>
                <w:color w:val="000000"/>
                <w:kern w:val="0"/>
                <w:sz w:val="22"/>
                <w:szCs w:val="22"/>
                <w:highlight w:val="none"/>
              </w:rPr>
            </w:pPr>
          </w:p>
        </w:tc>
        <w:tc>
          <w:tcPr>
            <w:tcW w:w="2191" w:type="dxa"/>
            <w:tcBorders>
              <w:top w:val="single" w:sz="4" w:space="0" w:color="auto"/>
              <w:left w:val="single" w:sz="4" w:space="0" w:color="auto"/>
              <w:bottom w:val="single" w:sz="4" w:space="0" w:color="auto"/>
              <w:right w:val="single" w:sz="4" w:space="0" w:color="auto"/>
            </w:tcBorders>
            <w:noWrap w:val="0"/>
            <w:vAlign w:val="center"/>
          </w:tcPr>
          <w:p>
            <w:pPr>
              <w:widowControl/>
              <w:jc w:val="right"/>
              <w:rPr>
                <w:rFonts w:ascii="宋体" w:eastAsia="宋体" w:hAnsi="宋体" w:cs="宋体"/>
                <w:b/>
                <w:bCs/>
                <w:color w:val="000000"/>
                <w:kern w:val="0"/>
                <w:sz w:val="22"/>
                <w:szCs w:val="22"/>
                <w:highlight w:val="none"/>
              </w:rPr>
            </w:pPr>
          </w:p>
        </w:tc>
        <w:tc>
          <w:tcPr>
            <w:tcW w:w="2191" w:type="dxa"/>
            <w:tcBorders>
              <w:top w:val="single" w:sz="4" w:space="0" w:color="auto"/>
              <w:left w:val="single" w:sz="4" w:space="0" w:color="auto"/>
              <w:bottom w:val="single" w:sz="4" w:space="0" w:color="auto"/>
              <w:right w:val="single" w:sz="4" w:space="0" w:color="auto"/>
            </w:tcBorders>
            <w:noWrap w:val="0"/>
            <w:vAlign w:val="center"/>
          </w:tcPr>
          <w:p>
            <w:pPr>
              <w:widowControl/>
              <w:jc w:val="right"/>
              <w:rPr>
                <w:rFonts w:ascii="宋体" w:eastAsia="宋体" w:hAnsi="宋体" w:cs="宋体"/>
                <w:b/>
                <w:bCs/>
                <w:color w:val="000000"/>
                <w:kern w:val="0"/>
                <w:sz w:val="22"/>
                <w:szCs w:val="22"/>
                <w:highlight w:val="none"/>
              </w:rPr>
            </w:pPr>
          </w:p>
        </w:tc>
      </w:tr>
      <w:tr>
        <w:tblPrEx>
          <w:tblW w:w="0" w:type="auto"/>
          <w:tblInd w:w="93" w:type="dxa"/>
          <w:tblLayout w:type="fixed"/>
        </w:tblPrEx>
        <w:trPr>
          <w:trHeight w:val="634"/>
        </w:trPr>
        <w:tc>
          <w:tcPr>
            <w:tcW w:w="1720" w:type="dxa"/>
            <w:gridSpan w:val="3"/>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425" w:type="dxa"/>
            <w:tcBorders>
              <w:top w:val="single" w:sz="4" w:space="0" w:color="auto"/>
              <w:left w:val="single" w:sz="4" w:space="0" w:color="auto"/>
              <w:bottom w:val="single" w:sz="4" w:space="0" w:color="auto"/>
              <w:right w:val="single" w:sz="4" w:space="0" w:color="auto"/>
            </w:tcBorders>
            <w:noWrap w:val="0"/>
            <w:vAlign w:val="center"/>
          </w:tcPr>
          <w:p>
            <w:pPr>
              <w:widowControl/>
              <w:jc w:val="left"/>
              <w:rPr>
                <w:rFonts w:ascii="宋体" w:eastAsia="宋体" w:hAnsi="宋体" w:cs="宋体"/>
                <w:color w:val="000000"/>
                <w:kern w:val="0"/>
                <w:sz w:val="22"/>
                <w:szCs w:val="22"/>
                <w:highlight w:val="none"/>
              </w:rPr>
            </w:pPr>
          </w:p>
        </w:tc>
        <w:tc>
          <w:tcPr>
            <w:tcW w:w="1252" w:type="dxa"/>
            <w:tcBorders>
              <w:top w:val="single" w:sz="4" w:space="0" w:color="auto"/>
              <w:left w:val="single" w:sz="4" w:space="0" w:color="auto"/>
              <w:bottom w:val="single" w:sz="4" w:space="0" w:color="auto"/>
              <w:right w:val="single" w:sz="4" w:space="0" w:color="auto"/>
            </w:tcBorders>
            <w:noWrap w:val="0"/>
            <w:vAlign w:val="center"/>
          </w:tcPr>
          <w:p>
            <w:pPr>
              <w:widowControl/>
              <w:jc w:val="right"/>
              <w:rPr>
                <w:rFonts w:ascii="宋体" w:eastAsia="宋体" w:hAnsi="宋体" w:cs="宋体"/>
                <w:color w:val="000000"/>
                <w:kern w:val="0"/>
                <w:sz w:val="22"/>
                <w:szCs w:val="22"/>
                <w:highlight w:val="none"/>
              </w:rPr>
            </w:pPr>
          </w:p>
        </w:tc>
        <w:tc>
          <w:tcPr>
            <w:tcW w:w="2191" w:type="dxa"/>
            <w:tcBorders>
              <w:top w:val="single" w:sz="4" w:space="0" w:color="auto"/>
              <w:left w:val="single" w:sz="4" w:space="0" w:color="auto"/>
              <w:bottom w:val="single" w:sz="4" w:space="0" w:color="auto"/>
              <w:right w:val="single" w:sz="4" w:space="0" w:color="auto"/>
            </w:tcBorders>
            <w:noWrap w:val="0"/>
            <w:vAlign w:val="center"/>
          </w:tcPr>
          <w:p>
            <w:pPr>
              <w:widowControl/>
              <w:jc w:val="right"/>
              <w:rPr>
                <w:rFonts w:ascii="宋体" w:eastAsia="宋体" w:hAnsi="宋体" w:cs="宋体"/>
                <w:color w:val="000000"/>
                <w:kern w:val="0"/>
                <w:sz w:val="22"/>
                <w:szCs w:val="22"/>
                <w:highlight w:val="none"/>
              </w:rPr>
            </w:pPr>
          </w:p>
        </w:tc>
        <w:tc>
          <w:tcPr>
            <w:tcW w:w="2191" w:type="dxa"/>
            <w:tcBorders>
              <w:top w:val="single" w:sz="4" w:space="0" w:color="auto"/>
              <w:left w:val="single" w:sz="4" w:space="0" w:color="auto"/>
              <w:bottom w:val="single" w:sz="4" w:space="0" w:color="auto"/>
              <w:right w:val="single" w:sz="4" w:space="0" w:color="auto"/>
            </w:tcBorders>
            <w:noWrap w:val="0"/>
            <w:vAlign w:val="center"/>
          </w:tcPr>
          <w:p>
            <w:pPr>
              <w:widowControl/>
              <w:jc w:val="right"/>
              <w:rPr>
                <w:rFonts w:ascii="宋体" w:eastAsia="宋体" w:hAnsi="宋体" w:cs="宋体"/>
                <w:color w:val="000000"/>
                <w:kern w:val="0"/>
                <w:sz w:val="22"/>
                <w:szCs w:val="22"/>
                <w:highlight w:val="none"/>
              </w:rPr>
            </w:pPr>
          </w:p>
        </w:tc>
      </w:tr>
    </w:tbl>
    <w:p>
      <w:pPr>
        <w:ind w:firstLine="640" w:firstLineChars="200"/>
        <w:rPr>
          <w:rFonts w:ascii="楷体_GB2312" w:eastAsia="楷体_GB2312" w:hAnsi="仿宋" w:hint="eastAsia"/>
          <w:sz w:val="32"/>
          <w:szCs w:val="32"/>
        </w:rPr>
      </w:pPr>
      <w:r>
        <w:rPr>
          <w:rFonts w:ascii="楷体_GB2312" w:eastAsia="楷体_GB2312" w:hAnsi="仿宋" w:hint="eastAsia"/>
          <w:sz w:val="32"/>
          <w:szCs w:val="32"/>
          <w:lang w:val="en-US" w:eastAsia="zh-CN"/>
        </w:rPr>
        <w:t>我单位没有使用国有资本经营预算财政拨款安排的支出，故此表无数据。</w:t>
      </w:r>
    </w:p>
    <w:p>
      <w:pPr>
        <w:ind w:firstLine="640" w:firstLineChars="200"/>
        <w:rPr>
          <w:rFonts w:ascii="黑体" w:eastAsia="黑体" w:hAnsi="黑体" w:hint="eastAsia"/>
          <w:sz w:val="32"/>
          <w:szCs w:val="32"/>
        </w:rPr>
      </w:pPr>
      <w:r>
        <w:rPr>
          <w:rFonts w:ascii="黑体" w:eastAsia="黑体" w:hAnsi="黑体" w:hint="eastAsia"/>
          <w:sz w:val="32"/>
          <w:szCs w:val="32"/>
        </w:rPr>
        <w:t xml:space="preserve">第三部分 </w:t>
      </w:r>
      <w:r>
        <w:rPr>
          <w:rFonts w:ascii="黑体" w:eastAsia="黑体" w:hAnsi="黑体" w:hint="eastAsia"/>
          <w:sz w:val="32"/>
          <w:szCs w:val="32"/>
          <w:lang w:val="en-US" w:eastAsia="zh-CN"/>
        </w:rPr>
        <w:t>寿县</w:t>
      </w:r>
      <w:r>
        <w:rPr>
          <w:rFonts w:ascii="黑体" w:eastAsia="黑体" w:hAnsi="黑体" w:hint="eastAsia"/>
          <w:sz w:val="32"/>
          <w:szCs w:val="32"/>
          <w:lang w:eastAsia="zh-CN"/>
        </w:rPr>
        <w:t>档案馆</w:t>
      </w:r>
      <w:r>
        <w:rPr>
          <w:rFonts w:ascii="黑体" w:eastAsia="黑体" w:hAnsi="黑体" w:hint="eastAsia"/>
          <w:sz w:val="32"/>
          <w:szCs w:val="32"/>
          <w:lang w:val="en-US" w:eastAsia="zh-CN"/>
        </w:rPr>
        <w:t>2020</w:t>
      </w:r>
      <w:r>
        <w:rPr>
          <w:rFonts w:ascii="黑体" w:eastAsia="黑体" w:hAnsi="黑体" w:hint="eastAsia"/>
          <w:sz w:val="32"/>
          <w:szCs w:val="32"/>
        </w:rPr>
        <w:t>年度部门决算情况说明</w:t>
      </w:r>
    </w:p>
    <w:p>
      <w:pPr>
        <w:ind w:firstLine="640" w:firstLineChars="200"/>
        <w:rPr>
          <w:rFonts w:ascii="黑体" w:eastAsia="黑体" w:hAnsi="黑体" w:hint="eastAsia"/>
          <w:sz w:val="32"/>
          <w:szCs w:val="32"/>
        </w:rPr>
      </w:pPr>
      <w:r>
        <w:rPr>
          <w:rFonts w:ascii="黑体" w:eastAsia="黑体" w:hAnsi="黑体" w:hint="eastAsia"/>
          <w:sz w:val="32"/>
          <w:szCs w:val="32"/>
        </w:rPr>
        <w:t>一、收入支出决算总体情况说明</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eastAsia="zh-CN"/>
        </w:rPr>
        <w:t>20</w:t>
      </w:r>
      <w:r>
        <w:rPr>
          <w:rFonts w:ascii="仿宋" w:eastAsia="仿宋" w:hAnsi="仿宋" w:cs="仿宋" w:hint="eastAsia"/>
          <w:sz w:val="32"/>
          <w:szCs w:val="32"/>
          <w:lang w:val="en-US" w:eastAsia="zh-CN"/>
        </w:rPr>
        <w:t>20</w:t>
      </w:r>
      <w:r>
        <w:rPr>
          <w:rFonts w:ascii="仿宋" w:eastAsia="仿宋" w:hAnsi="仿宋" w:cs="仿宋" w:hint="eastAsia"/>
          <w:sz w:val="32"/>
          <w:szCs w:val="32"/>
        </w:rPr>
        <w:t>年度收入总计</w:t>
      </w:r>
      <w:r>
        <w:rPr>
          <w:rFonts w:ascii="仿宋" w:eastAsia="仿宋" w:hAnsi="仿宋" w:cs="仿宋" w:hint="eastAsia"/>
          <w:sz w:val="32"/>
          <w:szCs w:val="32"/>
          <w:lang w:val="en-US" w:eastAsia="zh-CN"/>
        </w:rPr>
        <w:t>428.68</w:t>
      </w:r>
      <w:r>
        <w:rPr>
          <w:rFonts w:ascii="仿宋" w:eastAsia="仿宋" w:hAnsi="仿宋" w:cs="仿宋" w:hint="eastAsia"/>
          <w:sz w:val="32"/>
          <w:szCs w:val="32"/>
        </w:rPr>
        <w:t>万元（含用事业基金弥补收支差额和年初结转结余）、支出总计</w:t>
      </w:r>
      <w:r>
        <w:rPr>
          <w:rFonts w:ascii="仿宋" w:eastAsia="仿宋" w:hAnsi="仿宋" w:cs="仿宋" w:hint="eastAsia"/>
          <w:sz w:val="32"/>
          <w:szCs w:val="32"/>
          <w:lang w:val="en-US" w:eastAsia="zh-CN"/>
        </w:rPr>
        <w:t>428.68</w:t>
      </w:r>
      <w:r>
        <w:rPr>
          <w:rFonts w:ascii="仿宋" w:eastAsia="仿宋" w:hAnsi="仿宋" w:cs="仿宋" w:hint="eastAsia"/>
          <w:sz w:val="32"/>
          <w:szCs w:val="32"/>
        </w:rPr>
        <w:t>万元（含结余分配和年末结转</w:t>
      </w:r>
      <w:r>
        <w:rPr>
          <w:rFonts w:ascii="仿宋" w:eastAsia="仿宋" w:hAnsi="仿宋" w:cs="仿宋" w:hint="eastAsia"/>
          <w:sz w:val="32"/>
          <w:szCs w:val="32"/>
          <w:lang w:val="en-US" w:eastAsia="zh-CN"/>
        </w:rPr>
        <w:t>和</w:t>
      </w:r>
      <w:r>
        <w:rPr>
          <w:rFonts w:ascii="仿宋" w:eastAsia="仿宋" w:hAnsi="仿宋" w:cs="仿宋" w:hint="eastAsia"/>
          <w:sz w:val="32"/>
          <w:szCs w:val="32"/>
        </w:rPr>
        <w:t>结余）。与</w:t>
      </w:r>
      <w:r>
        <w:rPr>
          <w:rFonts w:ascii="仿宋" w:eastAsia="仿宋" w:hAnsi="仿宋" w:cs="仿宋" w:hint="eastAsia"/>
          <w:sz w:val="32"/>
          <w:szCs w:val="32"/>
          <w:lang w:eastAsia="zh-CN"/>
        </w:rPr>
        <w:t>2019</w:t>
      </w:r>
      <w:r>
        <w:rPr>
          <w:rFonts w:ascii="仿宋" w:eastAsia="仿宋" w:hAnsi="仿宋" w:cs="仿宋" w:hint="eastAsia"/>
          <w:sz w:val="32"/>
          <w:szCs w:val="32"/>
        </w:rPr>
        <w:t>年相比，收、支总计各增加</w:t>
      </w:r>
      <w:r>
        <w:rPr>
          <w:rFonts w:ascii="仿宋" w:eastAsia="仿宋" w:hAnsi="仿宋" w:cs="仿宋" w:hint="eastAsia"/>
          <w:sz w:val="32"/>
          <w:szCs w:val="32"/>
          <w:lang w:val="en-US" w:eastAsia="zh-CN"/>
        </w:rPr>
        <w:t>76.14</w:t>
      </w:r>
      <w:r>
        <w:rPr>
          <w:rFonts w:ascii="仿宋" w:eastAsia="仿宋" w:hAnsi="仿宋" w:cs="仿宋" w:hint="eastAsia"/>
          <w:sz w:val="32"/>
          <w:szCs w:val="32"/>
        </w:rPr>
        <w:t>万元，增长</w:t>
      </w:r>
      <w:r>
        <w:rPr>
          <w:rFonts w:ascii="仿宋" w:eastAsia="仿宋" w:hAnsi="仿宋" w:cs="仿宋" w:hint="eastAsia"/>
          <w:sz w:val="32"/>
          <w:szCs w:val="32"/>
          <w:lang w:val="en-US" w:eastAsia="zh-CN"/>
        </w:rPr>
        <w:t>21.6</w:t>
      </w:r>
      <w:r>
        <w:rPr>
          <w:rFonts w:ascii="仿宋" w:eastAsia="仿宋" w:hAnsi="仿宋" w:cs="仿宋" w:hint="eastAsia"/>
          <w:sz w:val="32"/>
          <w:szCs w:val="32"/>
        </w:rPr>
        <w:t>%，主要原因：一是</w:t>
      </w:r>
      <w:r>
        <w:rPr>
          <w:rFonts w:ascii="仿宋" w:eastAsia="仿宋" w:hAnsi="仿宋" w:cs="仿宋" w:hint="eastAsia"/>
          <w:sz w:val="32"/>
          <w:szCs w:val="32"/>
          <w:lang w:eastAsia="zh-CN"/>
        </w:rPr>
        <w:t>项目经费增加</w:t>
      </w:r>
      <w:r>
        <w:rPr>
          <w:rFonts w:ascii="仿宋" w:eastAsia="仿宋" w:hAnsi="仿宋" w:cs="仿宋" w:hint="eastAsia"/>
          <w:sz w:val="32"/>
          <w:szCs w:val="32"/>
        </w:rPr>
        <w:t>；二是</w:t>
      </w:r>
      <w:r>
        <w:rPr>
          <w:rFonts w:ascii="仿宋" w:eastAsia="仿宋" w:hAnsi="仿宋" w:cs="仿宋" w:hint="eastAsia"/>
          <w:sz w:val="32"/>
          <w:szCs w:val="32"/>
          <w:lang w:val="en-US" w:eastAsia="zh-CN"/>
        </w:rPr>
        <w:t>2020</w:t>
      </w:r>
      <w:r>
        <w:rPr>
          <w:rFonts w:ascii="仿宋" w:eastAsia="仿宋" w:hAnsi="仿宋" w:cs="仿宋" w:hint="eastAsia"/>
          <w:sz w:val="32"/>
          <w:szCs w:val="32"/>
          <w:lang w:eastAsia="zh-CN"/>
        </w:rPr>
        <w:t>年离休人员去世相关抚恤金支出；三是</w:t>
      </w:r>
      <w:r>
        <w:rPr>
          <w:rFonts w:ascii="仿宋" w:eastAsia="仿宋" w:hAnsi="仿宋" w:cs="仿宋" w:hint="eastAsia"/>
          <w:sz w:val="32"/>
          <w:szCs w:val="32"/>
          <w:lang w:val="en-US" w:eastAsia="zh-CN"/>
        </w:rPr>
        <w:t>2020年</w:t>
      </w:r>
      <w:r>
        <w:rPr>
          <w:rFonts w:ascii="仿宋" w:eastAsia="仿宋" w:hAnsi="仿宋" w:cs="仿宋" w:hint="eastAsia"/>
          <w:sz w:val="32"/>
          <w:szCs w:val="32"/>
          <w:lang w:eastAsia="zh-CN"/>
        </w:rPr>
        <w:t>新招录人员一人</w:t>
      </w:r>
      <w:r>
        <w:rPr>
          <w:rFonts w:ascii="仿宋" w:eastAsia="仿宋" w:hAnsi="仿宋" w:cs="仿宋" w:hint="eastAsia"/>
          <w:sz w:val="32"/>
          <w:szCs w:val="32"/>
        </w:rPr>
        <w:t>。</w:t>
      </w:r>
    </w:p>
    <w:p>
      <w:pPr>
        <w:ind w:firstLine="640" w:firstLineChars="200"/>
        <w:rPr>
          <w:rFonts w:ascii="黑体" w:eastAsia="黑体" w:hAnsi="仿宋" w:hint="eastAsia"/>
          <w:sz w:val="32"/>
          <w:szCs w:val="32"/>
        </w:rPr>
      </w:pPr>
      <w:r>
        <w:rPr>
          <w:rFonts w:ascii="黑体" w:eastAsia="黑体" w:hAnsi="仿宋" w:hint="eastAsia"/>
          <w:sz w:val="32"/>
          <w:szCs w:val="32"/>
        </w:rPr>
        <w:t>二、收入决算情况说明</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eastAsia="zh-CN"/>
        </w:rPr>
        <w:t>2020</w:t>
      </w:r>
      <w:r>
        <w:rPr>
          <w:rFonts w:ascii="仿宋" w:eastAsia="仿宋" w:hAnsi="仿宋" w:cs="仿宋" w:hint="eastAsia"/>
          <w:sz w:val="32"/>
          <w:szCs w:val="32"/>
        </w:rPr>
        <w:t>年度收入合计</w:t>
      </w:r>
      <w:r>
        <w:rPr>
          <w:rFonts w:ascii="仿宋" w:eastAsia="仿宋" w:hAnsi="仿宋" w:cs="仿宋" w:hint="eastAsia"/>
          <w:sz w:val="32"/>
          <w:szCs w:val="32"/>
          <w:lang w:val="en-US" w:eastAsia="zh-CN"/>
        </w:rPr>
        <w:t>428.68</w:t>
      </w:r>
      <w:r>
        <w:rPr>
          <w:rFonts w:ascii="仿宋" w:eastAsia="仿宋" w:hAnsi="仿宋" w:cs="仿宋" w:hint="eastAsia"/>
          <w:sz w:val="32"/>
          <w:szCs w:val="32"/>
        </w:rPr>
        <w:t>万元，其中：财政拨款收入</w:t>
      </w:r>
      <w:r>
        <w:rPr>
          <w:rFonts w:ascii="仿宋" w:eastAsia="仿宋" w:hAnsi="仿宋" w:cs="仿宋" w:hint="eastAsia"/>
          <w:sz w:val="32"/>
          <w:szCs w:val="32"/>
          <w:lang w:val="en-US" w:eastAsia="zh-CN"/>
        </w:rPr>
        <w:t>428.68</w:t>
      </w:r>
      <w:r>
        <w:rPr>
          <w:rFonts w:ascii="仿宋" w:eastAsia="仿宋" w:hAnsi="仿宋" w:cs="仿宋" w:hint="eastAsia"/>
          <w:sz w:val="32"/>
          <w:szCs w:val="32"/>
        </w:rPr>
        <w:t>万元，占</w:t>
      </w:r>
      <w:r>
        <w:rPr>
          <w:rFonts w:ascii="仿宋" w:eastAsia="仿宋" w:hAnsi="仿宋" w:cs="仿宋" w:hint="eastAsia"/>
          <w:sz w:val="32"/>
          <w:szCs w:val="32"/>
          <w:lang w:val="en-US" w:eastAsia="zh-CN"/>
        </w:rPr>
        <w:t>100</w:t>
      </w:r>
      <w:r>
        <w:rPr>
          <w:rFonts w:ascii="仿宋" w:eastAsia="仿宋" w:hAnsi="仿宋" w:cs="仿宋" w:hint="eastAsia"/>
          <w:sz w:val="32"/>
          <w:szCs w:val="32"/>
        </w:rPr>
        <w:t>%。</w:t>
      </w:r>
    </w:p>
    <w:p>
      <w:pPr>
        <w:ind w:firstLine="640" w:firstLineChars="200"/>
        <w:rPr>
          <w:rFonts w:ascii="黑体" w:eastAsia="黑体" w:hAnsi="仿宋" w:hint="eastAsia"/>
          <w:sz w:val="32"/>
          <w:szCs w:val="32"/>
        </w:rPr>
      </w:pPr>
      <w:r>
        <w:rPr>
          <w:rFonts w:ascii="黑体" w:eastAsia="黑体" w:hAnsi="仿宋" w:hint="eastAsia"/>
          <w:sz w:val="32"/>
          <w:szCs w:val="32"/>
        </w:rPr>
        <w:t>三、支出决算情况说明</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eastAsia="zh-CN"/>
        </w:rPr>
        <w:t>2020</w:t>
      </w:r>
      <w:r>
        <w:rPr>
          <w:rFonts w:ascii="仿宋" w:eastAsia="仿宋" w:hAnsi="仿宋" w:cs="仿宋" w:hint="eastAsia"/>
          <w:sz w:val="32"/>
          <w:szCs w:val="32"/>
        </w:rPr>
        <w:t>年度支出合计</w:t>
      </w:r>
      <w:r>
        <w:rPr>
          <w:rFonts w:ascii="仿宋" w:eastAsia="仿宋" w:hAnsi="仿宋" w:cs="仿宋" w:hint="eastAsia"/>
          <w:sz w:val="32"/>
          <w:szCs w:val="32"/>
          <w:lang w:val="en-US" w:eastAsia="zh-CN"/>
        </w:rPr>
        <w:t>428.68</w:t>
      </w:r>
      <w:r>
        <w:rPr>
          <w:rFonts w:ascii="仿宋" w:eastAsia="仿宋" w:hAnsi="仿宋" w:cs="仿宋" w:hint="eastAsia"/>
          <w:sz w:val="32"/>
          <w:szCs w:val="32"/>
        </w:rPr>
        <w:t>万元，其中：基本支出</w:t>
      </w:r>
      <w:r>
        <w:rPr>
          <w:rFonts w:ascii="仿宋" w:eastAsia="仿宋" w:hAnsi="仿宋" w:cs="仿宋" w:hint="eastAsia"/>
          <w:sz w:val="32"/>
          <w:szCs w:val="32"/>
          <w:lang w:val="en-US" w:eastAsia="zh-CN"/>
        </w:rPr>
        <w:t>239.97</w:t>
      </w:r>
      <w:r>
        <w:rPr>
          <w:rFonts w:ascii="仿宋" w:eastAsia="仿宋" w:hAnsi="仿宋" w:cs="仿宋" w:hint="eastAsia"/>
          <w:sz w:val="32"/>
          <w:szCs w:val="32"/>
        </w:rPr>
        <w:t>万元，占</w:t>
      </w:r>
      <w:r>
        <w:rPr>
          <w:rFonts w:ascii="仿宋" w:eastAsia="仿宋" w:hAnsi="仿宋" w:cs="仿宋" w:hint="eastAsia"/>
          <w:sz w:val="32"/>
          <w:szCs w:val="32"/>
          <w:lang w:val="en-US" w:eastAsia="zh-CN"/>
        </w:rPr>
        <w:t>55.98</w:t>
      </w:r>
      <w:r>
        <w:rPr>
          <w:rFonts w:ascii="仿宋" w:eastAsia="仿宋" w:hAnsi="仿宋" w:cs="仿宋" w:hint="eastAsia"/>
          <w:sz w:val="32"/>
          <w:szCs w:val="32"/>
        </w:rPr>
        <w:t>%；项目支出</w:t>
      </w:r>
      <w:r>
        <w:rPr>
          <w:rFonts w:ascii="仿宋" w:eastAsia="仿宋" w:hAnsi="仿宋" w:cs="仿宋" w:hint="eastAsia"/>
          <w:sz w:val="32"/>
          <w:szCs w:val="32"/>
          <w:lang w:val="en-US" w:eastAsia="zh-CN"/>
        </w:rPr>
        <w:t>188.72</w:t>
      </w:r>
      <w:r>
        <w:rPr>
          <w:rFonts w:ascii="仿宋" w:eastAsia="仿宋" w:hAnsi="仿宋" w:cs="仿宋" w:hint="eastAsia"/>
          <w:sz w:val="32"/>
          <w:szCs w:val="32"/>
        </w:rPr>
        <w:t>万元，占</w:t>
      </w:r>
      <w:r>
        <w:rPr>
          <w:rFonts w:ascii="仿宋" w:eastAsia="仿宋" w:hAnsi="仿宋" w:cs="仿宋" w:hint="eastAsia"/>
          <w:sz w:val="32"/>
          <w:szCs w:val="32"/>
          <w:lang w:val="en-US" w:eastAsia="zh-CN"/>
        </w:rPr>
        <w:t>44.02</w:t>
      </w:r>
      <w:r>
        <w:rPr>
          <w:rFonts w:ascii="仿宋" w:eastAsia="仿宋" w:hAnsi="仿宋" w:cs="仿宋" w:hint="eastAsia"/>
          <w:sz w:val="32"/>
          <w:szCs w:val="32"/>
        </w:rPr>
        <w:t>%。</w:t>
      </w:r>
    </w:p>
    <w:p>
      <w:pPr>
        <w:ind w:firstLine="640" w:firstLineChars="200"/>
        <w:rPr>
          <w:rFonts w:ascii="黑体" w:eastAsia="黑体" w:hAnsi="仿宋" w:hint="eastAsia"/>
          <w:sz w:val="32"/>
          <w:szCs w:val="32"/>
        </w:rPr>
      </w:pPr>
      <w:r>
        <w:rPr>
          <w:rFonts w:ascii="黑体" w:eastAsia="黑体" w:hAnsi="仿宋" w:hint="eastAsia"/>
          <w:sz w:val="32"/>
          <w:szCs w:val="32"/>
        </w:rPr>
        <w:t>四、财政拨款收入支出决算总体情况说明</w:t>
      </w:r>
    </w:p>
    <w:p>
      <w:pPr>
        <w:ind w:firstLine="640" w:firstLineChars="200"/>
        <w:rPr>
          <w:rFonts w:ascii="仿宋" w:eastAsia="仿宋" w:hAnsi="仿宋" w:cs="仿宋" w:hint="eastAsia"/>
          <w:sz w:val="32"/>
          <w:szCs w:val="32"/>
          <w:lang w:eastAsia="zh-CN"/>
        </w:rPr>
      </w:pPr>
      <w:r>
        <w:rPr>
          <w:rFonts w:ascii="仿宋" w:eastAsia="仿宋" w:hAnsi="仿宋" w:cs="仿宋" w:hint="eastAsia"/>
          <w:sz w:val="32"/>
          <w:szCs w:val="32"/>
          <w:lang w:eastAsia="zh-CN"/>
        </w:rPr>
        <w:t>2020年度财政拨款收入总计</w:t>
      </w:r>
      <w:r>
        <w:rPr>
          <w:rFonts w:ascii="仿宋" w:eastAsia="仿宋" w:hAnsi="仿宋" w:cs="仿宋" w:hint="eastAsia"/>
          <w:sz w:val="32"/>
          <w:szCs w:val="32"/>
          <w:lang w:val="en-US" w:eastAsia="zh-CN"/>
        </w:rPr>
        <w:t>428.68</w:t>
      </w:r>
      <w:r>
        <w:rPr>
          <w:rFonts w:ascii="仿宋" w:eastAsia="仿宋" w:hAnsi="仿宋" w:cs="仿宋" w:hint="eastAsia"/>
          <w:sz w:val="32"/>
          <w:szCs w:val="32"/>
          <w:lang w:eastAsia="zh-CN"/>
        </w:rPr>
        <w:t>万元（含年初财政拨款结转</w:t>
      </w:r>
      <w:r>
        <w:rPr>
          <w:rFonts w:ascii="仿宋" w:eastAsia="仿宋" w:hAnsi="仿宋" w:cs="仿宋" w:hint="eastAsia"/>
          <w:sz w:val="32"/>
          <w:szCs w:val="32"/>
          <w:lang w:val="en-US" w:eastAsia="zh-CN"/>
        </w:rPr>
        <w:t>和</w:t>
      </w:r>
      <w:r>
        <w:rPr>
          <w:rFonts w:ascii="仿宋" w:eastAsia="仿宋" w:hAnsi="仿宋" w:cs="仿宋" w:hint="eastAsia"/>
          <w:sz w:val="32"/>
          <w:szCs w:val="32"/>
          <w:lang w:eastAsia="zh-CN"/>
        </w:rPr>
        <w:t>结余），支出总计</w:t>
      </w:r>
      <w:r>
        <w:rPr>
          <w:rFonts w:ascii="仿宋" w:eastAsia="仿宋" w:hAnsi="仿宋" w:cs="仿宋" w:hint="eastAsia"/>
          <w:sz w:val="32"/>
          <w:szCs w:val="32"/>
          <w:lang w:val="en-US" w:eastAsia="zh-CN"/>
        </w:rPr>
        <w:t>428.68</w:t>
      </w:r>
      <w:r>
        <w:rPr>
          <w:rFonts w:ascii="仿宋" w:eastAsia="仿宋" w:hAnsi="仿宋" w:cs="仿宋" w:hint="eastAsia"/>
          <w:sz w:val="32"/>
          <w:szCs w:val="32"/>
          <w:lang w:eastAsia="zh-CN"/>
        </w:rPr>
        <w:t>万元（含年末财政拨款结转</w:t>
      </w:r>
      <w:r>
        <w:rPr>
          <w:rFonts w:ascii="仿宋" w:eastAsia="仿宋" w:hAnsi="仿宋" w:cs="仿宋" w:hint="eastAsia"/>
          <w:sz w:val="32"/>
          <w:szCs w:val="32"/>
          <w:lang w:val="en-US" w:eastAsia="zh-CN"/>
        </w:rPr>
        <w:t>和</w:t>
      </w:r>
      <w:r>
        <w:rPr>
          <w:rFonts w:ascii="仿宋" w:eastAsia="仿宋" w:hAnsi="仿宋" w:cs="仿宋" w:hint="eastAsia"/>
          <w:sz w:val="32"/>
          <w:szCs w:val="32"/>
          <w:lang w:eastAsia="zh-CN"/>
        </w:rPr>
        <w:t>结余）。与2019年相比，财政拨款收、支总计各增加</w:t>
      </w:r>
      <w:r>
        <w:rPr>
          <w:rFonts w:ascii="仿宋" w:eastAsia="仿宋" w:hAnsi="仿宋" w:cs="仿宋" w:hint="eastAsia"/>
          <w:sz w:val="32"/>
          <w:szCs w:val="32"/>
          <w:lang w:val="en-US" w:eastAsia="zh-CN"/>
        </w:rPr>
        <w:t>76.14</w:t>
      </w:r>
      <w:r>
        <w:rPr>
          <w:rFonts w:ascii="仿宋" w:eastAsia="仿宋" w:hAnsi="仿宋" w:cs="仿宋" w:hint="eastAsia"/>
          <w:sz w:val="32"/>
          <w:szCs w:val="32"/>
          <w:lang w:eastAsia="zh-CN"/>
        </w:rPr>
        <w:t>万元，</w:t>
      </w:r>
      <w:r>
        <w:rPr>
          <w:rFonts w:ascii="仿宋" w:eastAsia="仿宋" w:hAnsi="仿宋" w:cs="仿宋" w:hint="eastAsia"/>
          <w:sz w:val="32"/>
          <w:szCs w:val="32"/>
        </w:rPr>
        <w:t>增长</w:t>
      </w:r>
      <w:r>
        <w:rPr>
          <w:rFonts w:ascii="仿宋" w:eastAsia="仿宋" w:hAnsi="仿宋" w:cs="仿宋" w:hint="eastAsia"/>
          <w:sz w:val="32"/>
          <w:szCs w:val="32"/>
          <w:lang w:val="en-US" w:eastAsia="zh-CN"/>
        </w:rPr>
        <w:t>21.6</w:t>
      </w:r>
      <w:r>
        <w:rPr>
          <w:rFonts w:ascii="仿宋" w:eastAsia="仿宋" w:hAnsi="仿宋" w:cs="仿宋" w:hint="eastAsia"/>
          <w:sz w:val="32"/>
          <w:szCs w:val="32"/>
        </w:rPr>
        <w:t>%，主要原因：一是</w:t>
      </w:r>
      <w:r>
        <w:rPr>
          <w:rFonts w:ascii="仿宋" w:eastAsia="仿宋" w:hAnsi="仿宋" w:cs="仿宋" w:hint="eastAsia"/>
          <w:sz w:val="32"/>
          <w:szCs w:val="32"/>
          <w:lang w:eastAsia="zh-CN"/>
        </w:rPr>
        <w:t>项目经费增加</w:t>
      </w:r>
      <w:r>
        <w:rPr>
          <w:rFonts w:ascii="仿宋" w:eastAsia="仿宋" w:hAnsi="仿宋" w:cs="仿宋" w:hint="eastAsia"/>
          <w:sz w:val="32"/>
          <w:szCs w:val="32"/>
        </w:rPr>
        <w:t>；二是</w:t>
      </w:r>
      <w:r>
        <w:rPr>
          <w:rFonts w:ascii="仿宋" w:eastAsia="仿宋" w:hAnsi="仿宋" w:cs="仿宋" w:hint="eastAsia"/>
          <w:sz w:val="32"/>
          <w:szCs w:val="32"/>
          <w:lang w:val="en-US" w:eastAsia="zh-CN"/>
        </w:rPr>
        <w:t>2020</w:t>
      </w:r>
      <w:r>
        <w:rPr>
          <w:rFonts w:ascii="仿宋" w:eastAsia="仿宋" w:hAnsi="仿宋" w:cs="仿宋" w:hint="eastAsia"/>
          <w:sz w:val="32"/>
          <w:szCs w:val="32"/>
          <w:lang w:eastAsia="zh-CN"/>
        </w:rPr>
        <w:t>年离休人员去世相关抚恤金支出；三是</w:t>
      </w:r>
      <w:r>
        <w:rPr>
          <w:rFonts w:ascii="仿宋" w:eastAsia="仿宋" w:hAnsi="仿宋" w:cs="仿宋" w:hint="eastAsia"/>
          <w:sz w:val="32"/>
          <w:szCs w:val="32"/>
          <w:lang w:val="en-US" w:eastAsia="zh-CN"/>
        </w:rPr>
        <w:t>2020年</w:t>
      </w:r>
      <w:r>
        <w:rPr>
          <w:rFonts w:ascii="仿宋" w:eastAsia="仿宋" w:hAnsi="仿宋" w:cs="仿宋" w:hint="eastAsia"/>
          <w:sz w:val="32"/>
          <w:szCs w:val="32"/>
          <w:lang w:eastAsia="zh-CN"/>
        </w:rPr>
        <w:t>新招录人员一人</w:t>
      </w:r>
      <w:r>
        <w:rPr>
          <w:rFonts w:ascii="仿宋" w:eastAsia="仿宋" w:hAnsi="仿宋" w:cs="仿宋" w:hint="eastAsia"/>
          <w:sz w:val="32"/>
          <w:szCs w:val="32"/>
        </w:rPr>
        <w:t>。</w:t>
      </w:r>
    </w:p>
    <w:p>
      <w:pPr>
        <w:ind w:firstLine="640" w:firstLineChars="200"/>
        <w:rPr>
          <w:rFonts w:ascii="黑体" w:eastAsia="黑体" w:hAnsi="仿宋" w:hint="eastAsia"/>
          <w:sz w:val="32"/>
          <w:szCs w:val="32"/>
        </w:rPr>
      </w:pPr>
      <w:r>
        <w:rPr>
          <w:rFonts w:ascii="黑体" w:eastAsia="黑体" w:hAnsi="仿宋" w:hint="eastAsia"/>
          <w:sz w:val="32"/>
          <w:szCs w:val="32"/>
        </w:rPr>
        <w:t>五、一般公</w:t>
      </w:r>
      <w:r>
        <w:rPr>
          <w:rFonts w:ascii="仿宋" w:eastAsia="仿宋" w:hAnsi="仿宋" w:cs="仿宋" w:hint="eastAsia"/>
          <w:b/>
          <w:bCs/>
          <w:sz w:val="32"/>
          <w:szCs w:val="32"/>
        </w:rPr>
        <w:t>共预算财政拨款收入支出决</w:t>
      </w:r>
      <w:r>
        <w:rPr>
          <w:rFonts w:ascii="黑体" w:eastAsia="黑体" w:hAnsi="仿宋" w:hint="eastAsia"/>
          <w:sz w:val="32"/>
          <w:szCs w:val="32"/>
        </w:rPr>
        <w:t>算情况说明</w:t>
      </w:r>
    </w:p>
    <w:p>
      <w:pPr>
        <w:ind w:firstLine="640" w:firstLineChars="200"/>
        <w:rPr>
          <w:rFonts w:ascii="仿宋" w:eastAsia="仿宋" w:hAnsi="仿宋" w:cs="仿宋" w:hint="eastAsia"/>
          <w:b/>
          <w:bCs/>
          <w:sz w:val="32"/>
          <w:szCs w:val="32"/>
        </w:rPr>
      </w:pPr>
      <w:r>
        <w:rPr>
          <w:rFonts w:ascii="仿宋" w:eastAsia="仿宋" w:hAnsi="仿宋" w:cs="仿宋" w:hint="eastAsia"/>
          <w:b/>
          <w:bCs/>
          <w:sz w:val="32"/>
          <w:szCs w:val="32"/>
        </w:rPr>
        <w:t>（一） 一般公共预算财政拨款收入决算总体情况</w:t>
      </w:r>
    </w:p>
    <w:p>
      <w:pPr>
        <w:ind w:firstLine="640" w:firstLineChars="200"/>
        <w:rPr>
          <w:rFonts w:ascii="仿宋_GB2312" w:hAnsi="仿宋" w:hint="eastAsia"/>
          <w:szCs w:val="32"/>
        </w:rPr>
      </w:pPr>
      <w:r>
        <w:rPr>
          <w:rFonts w:ascii="仿宋" w:eastAsia="仿宋" w:hAnsi="仿宋" w:cs="仿宋" w:hint="eastAsia"/>
          <w:sz w:val="32"/>
          <w:szCs w:val="32"/>
          <w:lang w:eastAsia="zh-CN"/>
        </w:rPr>
        <w:t>2020年度一般公共预算财政拨款收入</w:t>
      </w:r>
      <w:r>
        <w:rPr>
          <w:rFonts w:ascii="仿宋" w:eastAsia="仿宋" w:hAnsi="仿宋" w:cs="仿宋" w:hint="eastAsia"/>
          <w:sz w:val="32"/>
          <w:szCs w:val="32"/>
          <w:lang w:val="en-US" w:eastAsia="zh-CN"/>
        </w:rPr>
        <w:t>428.68</w:t>
      </w:r>
      <w:r>
        <w:rPr>
          <w:rFonts w:ascii="仿宋" w:eastAsia="仿宋" w:hAnsi="仿宋" w:cs="仿宋" w:hint="eastAsia"/>
          <w:sz w:val="32"/>
          <w:szCs w:val="32"/>
          <w:lang w:eastAsia="zh-CN"/>
        </w:rPr>
        <w:t>万元，占本年收入的</w:t>
      </w:r>
      <w:r>
        <w:rPr>
          <w:rFonts w:ascii="仿宋" w:eastAsia="仿宋" w:hAnsi="仿宋" w:cs="仿宋" w:hint="eastAsia"/>
          <w:sz w:val="32"/>
          <w:szCs w:val="32"/>
          <w:lang w:val="en-US" w:eastAsia="zh-CN"/>
        </w:rPr>
        <w:t>100</w:t>
      </w:r>
      <w:r>
        <w:rPr>
          <w:rFonts w:ascii="仿宋" w:eastAsia="仿宋" w:hAnsi="仿宋" w:cs="仿宋" w:hint="eastAsia"/>
          <w:sz w:val="32"/>
          <w:szCs w:val="32"/>
          <w:lang w:eastAsia="zh-CN"/>
        </w:rPr>
        <w:t>%。与2019年相比，一般公共预算财政拨款收入增加</w:t>
      </w:r>
      <w:r>
        <w:rPr>
          <w:rFonts w:ascii="仿宋" w:eastAsia="仿宋" w:hAnsi="仿宋" w:cs="仿宋" w:hint="eastAsia"/>
          <w:sz w:val="32"/>
          <w:szCs w:val="32"/>
          <w:lang w:val="en-US" w:eastAsia="zh-CN"/>
        </w:rPr>
        <w:t>76.14</w:t>
      </w:r>
      <w:r>
        <w:rPr>
          <w:rFonts w:ascii="仿宋" w:eastAsia="仿宋" w:hAnsi="仿宋" w:cs="仿宋" w:hint="eastAsia"/>
          <w:sz w:val="32"/>
          <w:szCs w:val="32"/>
          <w:lang w:eastAsia="zh-CN"/>
        </w:rPr>
        <w:t>万元，</w:t>
      </w:r>
      <w:r>
        <w:rPr>
          <w:rFonts w:ascii="仿宋" w:eastAsia="仿宋" w:hAnsi="仿宋" w:cs="仿宋" w:hint="eastAsia"/>
          <w:sz w:val="32"/>
          <w:szCs w:val="32"/>
        </w:rPr>
        <w:t>增长</w:t>
      </w:r>
      <w:r>
        <w:rPr>
          <w:rFonts w:ascii="仿宋" w:eastAsia="仿宋" w:hAnsi="仿宋" w:cs="仿宋" w:hint="eastAsia"/>
          <w:sz w:val="32"/>
          <w:szCs w:val="32"/>
          <w:lang w:val="en-US" w:eastAsia="zh-CN"/>
        </w:rPr>
        <w:t>21.6</w:t>
      </w:r>
      <w:r>
        <w:rPr>
          <w:rFonts w:ascii="仿宋" w:eastAsia="仿宋" w:hAnsi="仿宋" w:cs="仿宋" w:hint="eastAsia"/>
          <w:sz w:val="32"/>
          <w:szCs w:val="32"/>
        </w:rPr>
        <w:t>%，主要原因：一是</w:t>
      </w:r>
      <w:r>
        <w:rPr>
          <w:rFonts w:ascii="仿宋" w:eastAsia="仿宋" w:hAnsi="仿宋" w:cs="仿宋" w:hint="eastAsia"/>
          <w:sz w:val="32"/>
          <w:szCs w:val="32"/>
          <w:lang w:eastAsia="zh-CN"/>
        </w:rPr>
        <w:t>项目经费增加</w:t>
      </w:r>
      <w:r>
        <w:rPr>
          <w:rFonts w:ascii="仿宋" w:eastAsia="仿宋" w:hAnsi="仿宋" w:cs="仿宋" w:hint="eastAsia"/>
          <w:sz w:val="32"/>
          <w:szCs w:val="32"/>
        </w:rPr>
        <w:t>；二是</w:t>
      </w:r>
      <w:r>
        <w:rPr>
          <w:rFonts w:ascii="仿宋" w:eastAsia="仿宋" w:hAnsi="仿宋" w:cs="仿宋" w:hint="eastAsia"/>
          <w:sz w:val="32"/>
          <w:szCs w:val="32"/>
          <w:lang w:val="en-US" w:eastAsia="zh-CN"/>
        </w:rPr>
        <w:t>2020</w:t>
      </w:r>
      <w:r>
        <w:rPr>
          <w:rFonts w:ascii="仿宋" w:eastAsia="仿宋" w:hAnsi="仿宋" w:cs="仿宋" w:hint="eastAsia"/>
          <w:sz w:val="32"/>
          <w:szCs w:val="32"/>
          <w:lang w:eastAsia="zh-CN"/>
        </w:rPr>
        <w:t>年离休人员去世相关抚恤金支出；三是</w:t>
      </w:r>
      <w:r>
        <w:rPr>
          <w:rFonts w:ascii="仿宋" w:eastAsia="仿宋" w:hAnsi="仿宋" w:cs="仿宋" w:hint="eastAsia"/>
          <w:sz w:val="32"/>
          <w:szCs w:val="32"/>
          <w:lang w:val="en-US" w:eastAsia="zh-CN"/>
        </w:rPr>
        <w:t>2020年</w:t>
      </w:r>
      <w:r>
        <w:rPr>
          <w:rFonts w:ascii="仿宋" w:eastAsia="仿宋" w:hAnsi="仿宋" w:cs="仿宋" w:hint="eastAsia"/>
          <w:sz w:val="32"/>
          <w:szCs w:val="32"/>
          <w:lang w:eastAsia="zh-CN"/>
        </w:rPr>
        <w:t>新招录人员一人</w:t>
      </w:r>
      <w:r>
        <w:rPr>
          <w:rFonts w:ascii="仿宋" w:eastAsia="仿宋" w:hAnsi="仿宋" w:cs="仿宋" w:hint="eastAsia"/>
          <w:sz w:val="32"/>
          <w:szCs w:val="32"/>
        </w:rPr>
        <w:t>。</w:t>
      </w:r>
    </w:p>
    <w:p>
      <w:pPr>
        <w:ind w:firstLine="640" w:firstLineChars="200"/>
        <w:rPr>
          <w:rFonts w:ascii="仿宋" w:eastAsia="仿宋" w:hAnsi="仿宋" w:cs="仿宋" w:hint="eastAsia"/>
          <w:b/>
          <w:bCs/>
          <w:sz w:val="32"/>
          <w:szCs w:val="32"/>
        </w:rPr>
      </w:pPr>
      <w:r>
        <w:rPr>
          <w:rFonts w:ascii="仿宋" w:eastAsia="仿宋" w:hAnsi="仿宋" w:cs="仿宋" w:hint="eastAsia"/>
          <w:b/>
          <w:bCs/>
          <w:sz w:val="32"/>
          <w:szCs w:val="32"/>
        </w:rPr>
        <w:t>（二）一般公共预算财政拨款支出决算总体情况</w:t>
      </w:r>
    </w:p>
    <w:p>
      <w:pPr>
        <w:ind w:firstLine="640" w:firstLineChars="200"/>
        <w:rPr>
          <w:rFonts w:ascii="仿宋" w:eastAsia="仿宋" w:hAnsi="仿宋" w:cs="仿宋" w:hint="eastAsia"/>
          <w:sz w:val="32"/>
          <w:szCs w:val="32"/>
          <w:lang w:eastAsia="zh-CN"/>
        </w:rPr>
      </w:pPr>
      <w:r>
        <w:rPr>
          <w:rFonts w:ascii="仿宋" w:eastAsia="仿宋" w:hAnsi="仿宋" w:cs="仿宋" w:hint="eastAsia"/>
          <w:sz w:val="32"/>
          <w:szCs w:val="32"/>
          <w:lang w:eastAsia="zh-CN"/>
        </w:rPr>
        <w:t>2020年度一般公共预算财政拨款支出</w:t>
      </w:r>
      <w:r>
        <w:rPr>
          <w:rFonts w:ascii="仿宋" w:eastAsia="仿宋" w:hAnsi="仿宋" w:cs="仿宋" w:hint="eastAsia"/>
          <w:sz w:val="32"/>
          <w:szCs w:val="32"/>
          <w:lang w:val="en-US" w:eastAsia="zh-CN"/>
        </w:rPr>
        <w:t>428.68</w:t>
      </w:r>
      <w:r>
        <w:rPr>
          <w:rFonts w:ascii="仿宋" w:eastAsia="仿宋" w:hAnsi="仿宋" w:cs="仿宋" w:hint="eastAsia"/>
          <w:sz w:val="32"/>
          <w:szCs w:val="32"/>
          <w:lang w:eastAsia="zh-CN"/>
        </w:rPr>
        <w:t>万元，占本年收入的</w:t>
      </w:r>
      <w:r>
        <w:rPr>
          <w:rFonts w:ascii="仿宋" w:eastAsia="仿宋" w:hAnsi="仿宋" w:cs="仿宋" w:hint="eastAsia"/>
          <w:sz w:val="32"/>
          <w:szCs w:val="32"/>
          <w:lang w:val="en-US" w:eastAsia="zh-CN"/>
        </w:rPr>
        <w:t>100</w:t>
      </w:r>
      <w:r>
        <w:rPr>
          <w:rFonts w:ascii="仿宋" w:eastAsia="仿宋" w:hAnsi="仿宋" w:cs="仿宋" w:hint="eastAsia"/>
          <w:sz w:val="32"/>
          <w:szCs w:val="32"/>
          <w:lang w:eastAsia="zh-CN"/>
        </w:rPr>
        <w:t>%。与2019年相比，一般公共预算财政拨款收入增加</w:t>
      </w:r>
      <w:r>
        <w:rPr>
          <w:rFonts w:ascii="仿宋" w:eastAsia="仿宋" w:hAnsi="仿宋" w:cs="仿宋" w:hint="eastAsia"/>
          <w:sz w:val="32"/>
          <w:szCs w:val="32"/>
          <w:lang w:val="en-US" w:eastAsia="zh-CN"/>
        </w:rPr>
        <w:t>76.14</w:t>
      </w:r>
      <w:r>
        <w:rPr>
          <w:rFonts w:ascii="仿宋" w:eastAsia="仿宋" w:hAnsi="仿宋" w:cs="仿宋" w:hint="eastAsia"/>
          <w:sz w:val="32"/>
          <w:szCs w:val="32"/>
          <w:lang w:eastAsia="zh-CN"/>
        </w:rPr>
        <w:t>万元，</w:t>
      </w:r>
      <w:r>
        <w:rPr>
          <w:rFonts w:ascii="仿宋" w:eastAsia="仿宋" w:hAnsi="仿宋" w:cs="仿宋" w:hint="eastAsia"/>
          <w:sz w:val="32"/>
          <w:szCs w:val="32"/>
        </w:rPr>
        <w:t>增长</w:t>
      </w:r>
      <w:r>
        <w:rPr>
          <w:rFonts w:ascii="仿宋" w:eastAsia="仿宋" w:hAnsi="仿宋" w:cs="仿宋" w:hint="eastAsia"/>
          <w:sz w:val="32"/>
          <w:szCs w:val="32"/>
          <w:lang w:val="en-US" w:eastAsia="zh-CN"/>
        </w:rPr>
        <w:t>21.6</w:t>
      </w:r>
      <w:r>
        <w:rPr>
          <w:rFonts w:ascii="仿宋" w:eastAsia="仿宋" w:hAnsi="仿宋" w:cs="仿宋" w:hint="eastAsia"/>
          <w:sz w:val="32"/>
          <w:szCs w:val="32"/>
        </w:rPr>
        <w:t>%，主要原因：一是</w:t>
      </w:r>
      <w:r>
        <w:rPr>
          <w:rFonts w:ascii="仿宋" w:eastAsia="仿宋" w:hAnsi="仿宋" w:cs="仿宋" w:hint="eastAsia"/>
          <w:sz w:val="32"/>
          <w:szCs w:val="32"/>
          <w:lang w:eastAsia="zh-CN"/>
        </w:rPr>
        <w:t>项目经费增加</w:t>
      </w:r>
      <w:r>
        <w:rPr>
          <w:rFonts w:ascii="仿宋" w:eastAsia="仿宋" w:hAnsi="仿宋" w:cs="仿宋" w:hint="eastAsia"/>
          <w:sz w:val="32"/>
          <w:szCs w:val="32"/>
        </w:rPr>
        <w:t>；二是</w:t>
      </w:r>
      <w:r>
        <w:rPr>
          <w:rFonts w:ascii="仿宋" w:eastAsia="仿宋" w:hAnsi="仿宋" w:cs="仿宋" w:hint="eastAsia"/>
          <w:sz w:val="32"/>
          <w:szCs w:val="32"/>
          <w:lang w:val="en-US" w:eastAsia="zh-CN"/>
        </w:rPr>
        <w:t>2020</w:t>
      </w:r>
      <w:r>
        <w:rPr>
          <w:rFonts w:ascii="仿宋" w:eastAsia="仿宋" w:hAnsi="仿宋" w:cs="仿宋" w:hint="eastAsia"/>
          <w:sz w:val="32"/>
          <w:szCs w:val="32"/>
          <w:lang w:eastAsia="zh-CN"/>
        </w:rPr>
        <w:t>年离休人员去世相关抚恤金支出；三是</w:t>
      </w:r>
      <w:r>
        <w:rPr>
          <w:rFonts w:ascii="仿宋" w:eastAsia="仿宋" w:hAnsi="仿宋" w:cs="仿宋" w:hint="eastAsia"/>
          <w:sz w:val="32"/>
          <w:szCs w:val="32"/>
          <w:lang w:val="en-US" w:eastAsia="zh-CN"/>
        </w:rPr>
        <w:t>2020年</w:t>
      </w:r>
      <w:r>
        <w:rPr>
          <w:rFonts w:ascii="仿宋" w:eastAsia="仿宋" w:hAnsi="仿宋" w:cs="仿宋" w:hint="eastAsia"/>
          <w:sz w:val="32"/>
          <w:szCs w:val="32"/>
          <w:lang w:eastAsia="zh-CN"/>
        </w:rPr>
        <w:t>新招录人员一人</w:t>
      </w:r>
      <w:r>
        <w:rPr>
          <w:rFonts w:ascii="仿宋" w:eastAsia="仿宋" w:hAnsi="仿宋" w:cs="仿宋" w:hint="eastAsia"/>
          <w:sz w:val="32"/>
          <w:szCs w:val="32"/>
        </w:rPr>
        <w:t>。</w:t>
      </w:r>
    </w:p>
    <w:p>
      <w:pPr>
        <w:ind w:firstLine="640" w:firstLineChars="200"/>
        <w:rPr>
          <w:rFonts w:ascii="仿宋" w:eastAsia="仿宋" w:hAnsi="仿宋" w:cs="仿宋" w:hint="eastAsia"/>
          <w:b/>
          <w:bCs/>
          <w:sz w:val="32"/>
          <w:szCs w:val="32"/>
        </w:rPr>
      </w:pPr>
      <w:r>
        <w:rPr>
          <w:rFonts w:ascii="仿宋" w:eastAsia="仿宋" w:hAnsi="仿宋" w:cs="仿宋" w:hint="eastAsia"/>
          <w:b/>
          <w:bCs/>
          <w:sz w:val="32"/>
          <w:szCs w:val="32"/>
        </w:rPr>
        <w:t>（三）一般公共预算财政拨款支出决算结构情况</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eastAsia="zh-CN"/>
        </w:rPr>
        <w:t>2020</w:t>
      </w:r>
      <w:r>
        <w:rPr>
          <w:rFonts w:ascii="仿宋" w:eastAsia="仿宋" w:hAnsi="仿宋" w:cs="仿宋" w:hint="eastAsia"/>
          <w:sz w:val="32"/>
          <w:szCs w:val="32"/>
        </w:rPr>
        <w:t>年</w:t>
      </w:r>
      <w:r>
        <w:rPr>
          <w:rFonts w:ascii="仿宋" w:eastAsia="仿宋" w:hAnsi="仿宋" w:cs="仿宋" w:hint="eastAsia"/>
          <w:sz w:val="32"/>
          <w:szCs w:val="32"/>
          <w:lang w:val="en-US" w:eastAsia="zh-CN"/>
        </w:rPr>
        <w:t>度</w:t>
      </w:r>
      <w:r>
        <w:rPr>
          <w:rFonts w:ascii="仿宋" w:eastAsia="仿宋" w:hAnsi="仿宋" w:cs="仿宋" w:hint="eastAsia"/>
          <w:sz w:val="32"/>
          <w:szCs w:val="32"/>
        </w:rPr>
        <w:t>一般公共预算财政拨款支出</w:t>
      </w:r>
      <w:r>
        <w:rPr>
          <w:rFonts w:ascii="仿宋" w:eastAsia="仿宋" w:hAnsi="仿宋" w:cs="仿宋" w:hint="eastAsia"/>
          <w:sz w:val="32"/>
          <w:szCs w:val="32"/>
          <w:lang w:val="en-US" w:eastAsia="zh-CN"/>
        </w:rPr>
        <w:t>428.68</w:t>
      </w:r>
      <w:r>
        <w:rPr>
          <w:rFonts w:ascii="仿宋" w:eastAsia="仿宋" w:hAnsi="仿宋" w:cs="仿宋" w:hint="eastAsia"/>
          <w:sz w:val="32"/>
          <w:szCs w:val="32"/>
        </w:rPr>
        <w:t>万元，主要用于以下方面：</w:t>
      </w:r>
      <w:r>
        <w:rPr>
          <w:rFonts w:ascii="仿宋" w:eastAsia="仿宋" w:hAnsi="仿宋" w:cs="仿宋" w:hint="eastAsia"/>
          <w:b/>
          <w:sz w:val="32"/>
          <w:szCs w:val="32"/>
        </w:rPr>
        <w:t>一般公共服务（类）</w:t>
      </w:r>
      <w:r>
        <w:rPr>
          <w:rFonts w:ascii="仿宋" w:eastAsia="仿宋" w:hAnsi="仿宋" w:cs="仿宋" w:hint="eastAsia"/>
          <w:sz w:val="32"/>
          <w:szCs w:val="32"/>
        </w:rPr>
        <w:t>支出</w:t>
      </w:r>
      <w:r>
        <w:rPr>
          <w:rFonts w:ascii="仿宋" w:eastAsia="仿宋" w:hAnsi="仿宋" w:cs="仿宋" w:hint="eastAsia"/>
          <w:sz w:val="32"/>
          <w:szCs w:val="32"/>
          <w:lang w:val="en-US" w:eastAsia="zh-CN"/>
        </w:rPr>
        <w:t>374.95</w:t>
      </w:r>
      <w:r>
        <w:rPr>
          <w:rFonts w:ascii="仿宋" w:eastAsia="仿宋" w:hAnsi="仿宋" w:cs="仿宋" w:hint="eastAsia"/>
          <w:sz w:val="32"/>
          <w:szCs w:val="32"/>
        </w:rPr>
        <w:t>万元，占</w:t>
      </w:r>
      <w:r>
        <w:rPr>
          <w:rFonts w:ascii="仿宋" w:eastAsia="仿宋" w:hAnsi="仿宋" w:cs="仿宋" w:hint="eastAsia"/>
          <w:sz w:val="32"/>
          <w:szCs w:val="32"/>
          <w:lang w:val="en-US" w:eastAsia="zh-CN"/>
        </w:rPr>
        <w:t>87.47</w:t>
      </w:r>
      <w:r>
        <w:rPr>
          <w:rFonts w:ascii="仿宋" w:eastAsia="仿宋" w:hAnsi="仿宋" w:cs="仿宋" w:hint="eastAsia"/>
          <w:sz w:val="32"/>
          <w:szCs w:val="32"/>
        </w:rPr>
        <w:t>%;</w:t>
      </w:r>
      <w:r>
        <w:rPr>
          <w:rFonts w:ascii="仿宋" w:eastAsia="仿宋" w:hAnsi="仿宋" w:cs="仿宋" w:hint="eastAsia"/>
          <w:b/>
          <w:sz w:val="32"/>
          <w:szCs w:val="32"/>
        </w:rPr>
        <w:t>社会保障和就业（类）</w:t>
      </w:r>
      <w:r>
        <w:rPr>
          <w:rFonts w:ascii="仿宋" w:eastAsia="仿宋" w:hAnsi="仿宋" w:cs="仿宋" w:hint="eastAsia"/>
          <w:sz w:val="32"/>
          <w:szCs w:val="32"/>
        </w:rPr>
        <w:t>支出</w:t>
      </w:r>
      <w:r>
        <w:rPr>
          <w:rFonts w:ascii="仿宋" w:eastAsia="仿宋" w:hAnsi="仿宋" w:cs="仿宋" w:hint="eastAsia"/>
          <w:sz w:val="32"/>
          <w:szCs w:val="32"/>
          <w:lang w:val="en-US" w:eastAsia="zh-CN"/>
        </w:rPr>
        <w:t>36.09</w:t>
      </w:r>
      <w:r>
        <w:rPr>
          <w:rFonts w:ascii="仿宋" w:eastAsia="仿宋" w:hAnsi="仿宋" w:cs="仿宋" w:hint="eastAsia"/>
          <w:sz w:val="32"/>
          <w:szCs w:val="32"/>
        </w:rPr>
        <w:t>万元，占</w:t>
      </w:r>
      <w:r>
        <w:rPr>
          <w:rFonts w:ascii="仿宋" w:eastAsia="仿宋" w:hAnsi="仿宋" w:cs="仿宋" w:hint="eastAsia"/>
          <w:sz w:val="32"/>
          <w:szCs w:val="32"/>
          <w:lang w:val="en-US" w:eastAsia="zh-CN"/>
        </w:rPr>
        <w:t>8.42</w:t>
      </w:r>
      <w:r>
        <w:rPr>
          <w:rFonts w:ascii="仿宋" w:eastAsia="仿宋" w:hAnsi="仿宋" w:cs="仿宋" w:hint="eastAsia"/>
          <w:sz w:val="32"/>
          <w:szCs w:val="32"/>
        </w:rPr>
        <w:t>%；</w:t>
      </w:r>
      <w:r>
        <w:rPr>
          <w:rFonts w:ascii="仿宋" w:eastAsia="仿宋" w:hAnsi="仿宋" w:cs="仿宋" w:hint="eastAsia"/>
          <w:b/>
          <w:sz w:val="32"/>
          <w:szCs w:val="32"/>
          <w:lang w:eastAsia="zh-CN"/>
        </w:rPr>
        <w:t>卫生健康</w:t>
      </w:r>
      <w:r>
        <w:rPr>
          <w:rFonts w:ascii="仿宋" w:eastAsia="仿宋" w:hAnsi="仿宋" w:cs="仿宋" w:hint="eastAsia"/>
          <w:b/>
          <w:sz w:val="32"/>
          <w:szCs w:val="32"/>
        </w:rPr>
        <w:t>（类）</w:t>
      </w:r>
      <w:r>
        <w:rPr>
          <w:rFonts w:ascii="仿宋" w:eastAsia="仿宋" w:hAnsi="仿宋" w:cs="仿宋" w:hint="eastAsia"/>
          <w:sz w:val="32"/>
          <w:szCs w:val="32"/>
        </w:rPr>
        <w:t>支出</w:t>
      </w:r>
      <w:r>
        <w:rPr>
          <w:rFonts w:ascii="仿宋" w:eastAsia="仿宋" w:hAnsi="仿宋" w:cs="仿宋" w:hint="eastAsia"/>
          <w:sz w:val="32"/>
          <w:szCs w:val="32"/>
          <w:lang w:val="en-US" w:eastAsia="zh-CN"/>
        </w:rPr>
        <w:t>8.28</w:t>
      </w:r>
      <w:r>
        <w:rPr>
          <w:rFonts w:ascii="仿宋" w:eastAsia="仿宋" w:hAnsi="仿宋" w:cs="仿宋" w:hint="eastAsia"/>
          <w:sz w:val="32"/>
          <w:szCs w:val="32"/>
        </w:rPr>
        <w:t>万元，占</w:t>
      </w:r>
      <w:r>
        <w:rPr>
          <w:rFonts w:ascii="仿宋" w:eastAsia="仿宋" w:hAnsi="仿宋" w:cs="仿宋" w:hint="eastAsia"/>
          <w:sz w:val="32"/>
          <w:szCs w:val="32"/>
          <w:lang w:val="en-US" w:eastAsia="zh-CN"/>
        </w:rPr>
        <w:t>1.93</w:t>
      </w:r>
      <w:r>
        <w:rPr>
          <w:rFonts w:ascii="仿宋" w:eastAsia="仿宋" w:hAnsi="仿宋" w:cs="仿宋" w:hint="eastAsia"/>
          <w:sz w:val="32"/>
          <w:szCs w:val="32"/>
        </w:rPr>
        <w:t>%；</w:t>
      </w:r>
      <w:r>
        <w:rPr>
          <w:rFonts w:ascii="仿宋" w:eastAsia="仿宋" w:hAnsi="仿宋" w:cs="仿宋" w:hint="eastAsia"/>
          <w:b/>
          <w:sz w:val="32"/>
          <w:szCs w:val="32"/>
        </w:rPr>
        <w:t>住房保障（类）</w:t>
      </w:r>
      <w:r>
        <w:rPr>
          <w:rFonts w:ascii="仿宋" w:eastAsia="仿宋" w:hAnsi="仿宋" w:cs="仿宋" w:hint="eastAsia"/>
          <w:sz w:val="32"/>
          <w:szCs w:val="32"/>
        </w:rPr>
        <w:t>支出</w:t>
      </w:r>
      <w:r>
        <w:rPr>
          <w:rFonts w:ascii="仿宋" w:eastAsia="仿宋" w:hAnsi="仿宋" w:cs="仿宋" w:hint="eastAsia"/>
          <w:sz w:val="32"/>
          <w:szCs w:val="32"/>
          <w:lang w:val="en-US" w:eastAsia="zh-CN"/>
        </w:rPr>
        <w:t>9.36</w:t>
      </w:r>
      <w:r>
        <w:rPr>
          <w:rFonts w:ascii="仿宋" w:eastAsia="仿宋" w:hAnsi="仿宋" w:cs="仿宋" w:hint="eastAsia"/>
          <w:sz w:val="32"/>
          <w:szCs w:val="32"/>
        </w:rPr>
        <w:t>万元，占</w:t>
      </w:r>
      <w:r>
        <w:rPr>
          <w:rFonts w:ascii="仿宋" w:eastAsia="仿宋" w:hAnsi="仿宋" w:cs="仿宋" w:hint="eastAsia"/>
          <w:sz w:val="32"/>
          <w:szCs w:val="32"/>
          <w:lang w:val="en-US" w:eastAsia="zh-CN"/>
        </w:rPr>
        <w:t>2.18</w:t>
      </w:r>
      <w:r>
        <w:rPr>
          <w:rFonts w:ascii="仿宋" w:eastAsia="仿宋" w:hAnsi="仿宋" w:cs="仿宋" w:hint="eastAsia"/>
          <w:sz w:val="32"/>
          <w:szCs w:val="32"/>
        </w:rPr>
        <w:t>%。</w:t>
      </w:r>
    </w:p>
    <w:p>
      <w:pPr>
        <w:ind w:firstLine="640" w:firstLineChars="200"/>
        <w:rPr>
          <w:rFonts w:ascii="仿宋" w:eastAsia="仿宋" w:hAnsi="仿宋" w:cs="仿宋" w:hint="eastAsia"/>
          <w:b/>
          <w:bCs/>
          <w:sz w:val="32"/>
          <w:szCs w:val="32"/>
        </w:rPr>
      </w:pPr>
      <w:r>
        <w:rPr>
          <w:rFonts w:ascii="仿宋" w:eastAsia="仿宋" w:hAnsi="仿宋" w:cs="仿宋" w:hint="eastAsia"/>
          <w:b/>
          <w:bCs/>
          <w:sz w:val="32"/>
          <w:szCs w:val="32"/>
        </w:rPr>
        <w:t>（四） 一般公共预算财政拨款支出决算具体情况</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eastAsia="zh-CN"/>
        </w:rPr>
        <w:t>2020</w:t>
      </w:r>
      <w:r>
        <w:rPr>
          <w:rFonts w:ascii="仿宋" w:eastAsia="仿宋" w:hAnsi="仿宋" w:cs="仿宋" w:hint="eastAsia"/>
          <w:sz w:val="32"/>
          <w:szCs w:val="32"/>
        </w:rPr>
        <w:t>年度一般公共预算财政拨款支出年初预算为</w:t>
      </w:r>
      <w:r>
        <w:rPr>
          <w:rFonts w:ascii="仿宋" w:eastAsia="仿宋" w:hAnsi="仿宋" w:cs="仿宋" w:hint="eastAsia"/>
          <w:sz w:val="32"/>
          <w:szCs w:val="32"/>
          <w:lang w:val="en-US" w:eastAsia="zh-CN"/>
        </w:rPr>
        <w:t>558.27</w:t>
      </w:r>
      <w:r>
        <w:rPr>
          <w:rFonts w:ascii="仿宋" w:eastAsia="仿宋" w:hAnsi="仿宋" w:cs="仿宋" w:hint="eastAsia"/>
          <w:sz w:val="32"/>
          <w:szCs w:val="32"/>
        </w:rPr>
        <w:t>万元，支出决算为</w:t>
      </w:r>
      <w:r>
        <w:rPr>
          <w:rFonts w:ascii="仿宋" w:eastAsia="仿宋" w:hAnsi="仿宋" w:cs="仿宋" w:hint="eastAsia"/>
          <w:sz w:val="32"/>
          <w:szCs w:val="32"/>
          <w:lang w:val="en-US" w:eastAsia="zh-CN"/>
        </w:rPr>
        <w:t>428.68</w:t>
      </w:r>
      <w:r>
        <w:rPr>
          <w:rFonts w:ascii="仿宋" w:eastAsia="仿宋" w:hAnsi="仿宋" w:cs="仿宋" w:hint="eastAsia"/>
          <w:sz w:val="32"/>
          <w:szCs w:val="32"/>
        </w:rPr>
        <w:t>万元，完成年初预算的</w:t>
      </w:r>
      <w:r>
        <w:rPr>
          <w:rFonts w:ascii="仿宋" w:eastAsia="仿宋" w:hAnsi="仿宋" w:cs="仿宋" w:hint="eastAsia"/>
          <w:sz w:val="32"/>
          <w:szCs w:val="32"/>
          <w:lang w:val="en-US" w:eastAsia="zh-CN"/>
        </w:rPr>
        <w:t>76.79</w:t>
      </w:r>
      <w:r>
        <w:rPr>
          <w:rFonts w:ascii="仿宋" w:eastAsia="仿宋" w:hAnsi="仿宋" w:cs="仿宋" w:hint="eastAsia"/>
          <w:sz w:val="32"/>
          <w:szCs w:val="32"/>
        </w:rPr>
        <w:t>%。决算数小于预算数的主要原因:一是</w:t>
      </w:r>
      <w:r>
        <w:rPr>
          <w:rFonts w:ascii="仿宋" w:eastAsia="仿宋" w:hAnsi="仿宋" w:cs="仿宋" w:hint="eastAsia"/>
          <w:sz w:val="32"/>
          <w:szCs w:val="32"/>
          <w:lang w:eastAsia="zh-CN"/>
        </w:rPr>
        <w:t>档案馆档案数字化项目延续至</w:t>
      </w:r>
      <w:r>
        <w:rPr>
          <w:rFonts w:ascii="仿宋" w:eastAsia="仿宋" w:hAnsi="仿宋" w:cs="仿宋" w:hint="eastAsia"/>
          <w:sz w:val="32"/>
          <w:szCs w:val="32"/>
          <w:lang w:val="en-US" w:eastAsia="zh-CN"/>
        </w:rPr>
        <w:t>2021年，剩余款项将在2021年项目完成验收合格后支付</w:t>
      </w:r>
      <w:r>
        <w:rPr>
          <w:rFonts w:ascii="仿宋" w:eastAsia="仿宋" w:hAnsi="仿宋" w:cs="仿宋" w:hint="eastAsia"/>
          <w:sz w:val="32"/>
          <w:szCs w:val="32"/>
        </w:rPr>
        <w:t>。其中:基本支出</w:t>
      </w:r>
      <w:r>
        <w:rPr>
          <w:rFonts w:ascii="仿宋" w:eastAsia="仿宋" w:hAnsi="仿宋" w:cs="仿宋" w:hint="eastAsia"/>
          <w:sz w:val="32"/>
          <w:szCs w:val="32"/>
          <w:lang w:val="en-US" w:eastAsia="zh-CN"/>
        </w:rPr>
        <w:t>133.27</w:t>
      </w:r>
      <w:r>
        <w:rPr>
          <w:rFonts w:ascii="仿宋" w:eastAsia="仿宋" w:hAnsi="仿宋" w:cs="仿宋" w:hint="eastAsia"/>
          <w:sz w:val="32"/>
          <w:szCs w:val="32"/>
        </w:rPr>
        <w:t>万元，占</w:t>
      </w:r>
      <w:r>
        <w:rPr>
          <w:rFonts w:ascii="仿宋" w:eastAsia="仿宋" w:hAnsi="仿宋" w:cs="仿宋" w:hint="eastAsia"/>
          <w:sz w:val="32"/>
          <w:szCs w:val="32"/>
          <w:lang w:val="en-US" w:eastAsia="zh-CN"/>
        </w:rPr>
        <w:t>23.87</w:t>
      </w:r>
      <w:r>
        <w:rPr>
          <w:rFonts w:ascii="仿宋" w:eastAsia="仿宋" w:hAnsi="仿宋" w:cs="仿宋" w:hint="eastAsia"/>
          <w:sz w:val="32"/>
          <w:szCs w:val="32"/>
        </w:rPr>
        <w:t>%；项目支出</w:t>
      </w:r>
      <w:r>
        <w:rPr>
          <w:rFonts w:ascii="仿宋" w:eastAsia="仿宋" w:hAnsi="仿宋" w:cs="仿宋" w:hint="eastAsia"/>
          <w:sz w:val="32"/>
          <w:szCs w:val="32"/>
          <w:lang w:val="en-US" w:eastAsia="zh-CN"/>
        </w:rPr>
        <w:t>425</w:t>
      </w:r>
      <w:r>
        <w:rPr>
          <w:rFonts w:ascii="仿宋" w:eastAsia="仿宋" w:hAnsi="仿宋" w:cs="仿宋" w:hint="eastAsia"/>
          <w:sz w:val="32"/>
          <w:szCs w:val="32"/>
        </w:rPr>
        <w:t>万元，占</w:t>
      </w:r>
      <w:r>
        <w:rPr>
          <w:rFonts w:ascii="仿宋" w:eastAsia="仿宋" w:hAnsi="仿宋" w:cs="仿宋" w:hint="eastAsia"/>
          <w:sz w:val="32"/>
          <w:szCs w:val="32"/>
          <w:lang w:val="en-US" w:eastAsia="zh-CN"/>
        </w:rPr>
        <w:t>76.13</w:t>
      </w:r>
      <w:r>
        <w:rPr>
          <w:rFonts w:ascii="仿宋" w:eastAsia="仿宋" w:hAnsi="仿宋" w:cs="仿宋" w:hint="eastAsia"/>
          <w:sz w:val="32"/>
          <w:szCs w:val="32"/>
        </w:rPr>
        <w:t>%。具体情况如下：</w:t>
      </w:r>
    </w:p>
    <w:p>
      <w:pPr>
        <w:numPr>
          <w:ilvl w:val="0"/>
          <w:numId w:val="2"/>
        </w:numPr>
        <w:ind w:left="-13" w:firstLine="643" w:leftChars="0" w:firstLineChars="0"/>
        <w:rPr>
          <w:rFonts w:ascii="仿宋" w:eastAsia="仿宋" w:hAnsi="仿宋" w:cs="仿宋" w:hint="eastAsia"/>
          <w:sz w:val="32"/>
          <w:szCs w:val="32"/>
        </w:rPr>
      </w:pPr>
      <w:r>
        <w:rPr>
          <w:rFonts w:ascii="仿宋" w:eastAsia="仿宋" w:hAnsi="仿宋" w:cs="仿宋" w:hint="eastAsia"/>
          <w:b/>
          <w:sz w:val="32"/>
          <w:szCs w:val="32"/>
        </w:rPr>
        <w:t>一般公共服务（类）</w:t>
      </w:r>
      <w:r>
        <w:rPr>
          <w:rFonts w:ascii="仿宋" w:eastAsia="仿宋" w:hAnsi="仿宋" w:cs="仿宋" w:hint="eastAsia"/>
          <w:b/>
          <w:sz w:val="32"/>
          <w:szCs w:val="32"/>
          <w:lang w:eastAsia="zh-CN"/>
        </w:rPr>
        <w:t>档案</w:t>
      </w:r>
      <w:r>
        <w:rPr>
          <w:rFonts w:ascii="仿宋" w:eastAsia="仿宋" w:hAnsi="仿宋" w:cs="仿宋" w:hint="eastAsia"/>
          <w:b/>
          <w:sz w:val="32"/>
          <w:szCs w:val="32"/>
        </w:rPr>
        <w:t>事务（款）</w:t>
      </w:r>
      <w:r>
        <w:rPr>
          <w:rFonts w:ascii="仿宋" w:eastAsia="仿宋" w:hAnsi="仿宋" w:cs="仿宋" w:hint="eastAsia"/>
          <w:b/>
          <w:sz w:val="32"/>
          <w:szCs w:val="32"/>
          <w:lang w:eastAsia="zh-CN"/>
        </w:rPr>
        <w:t>行政运行</w:t>
      </w:r>
      <w:r>
        <w:rPr>
          <w:rFonts w:ascii="仿宋" w:eastAsia="仿宋" w:hAnsi="仿宋" w:cs="仿宋" w:hint="eastAsia"/>
          <w:b/>
          <w:sz w:val="32"/>
          <w:szCs w:val="32"/>
        </w:rPr>
        <w:t>（项）</w:t>
      </w:r>
      <w:r>
        <w:rPr>
          <w:rFonts w:ascii="仿宋" w:eastAsia="仿宋" w:hAnsi="仿宋" w:cs="仿宋" w:hint="eastAsia"/>
          <w:sz w:val="32"/>
          <w:szCs w:val="32"/>
        </w:rPr>
        <w:t>。年初预算为</w:t>
      </w:r>
      <w:r>
        <w:rPr>
          <w:rFonts w:ascii="仿宋" w:eastAsia="仿宋" w:hAnsi="仿宋" w:cs="仿宋" w:hint="eastAsia"/>
          <w:sz w:val="32"/>
          <w:szCs w:val="32"/>
          <w:lang w:val="en-US" w:eastAsia="zh-CN"/>
        </w:rPr>
        <w:t>527.68</w:t>
      </w:r>
      <w:r>
        <w:rPr>
          <w:rFonts w:ascii="仿宋" w:eastAsia="仿宋" w:hAnsi="仿宋" w:cs="仿宋" w:hint="eastAsia"/>
          <w:sz w:val="32"/>
          <w:szCs w:val="32"/>
        </w:rPr>
        <w:t>万元，支出决算为</w:t>
      </w:r>
      <w:r>
        <w:rPr>
          <w:rFonts w:ascii="仿宋" w:eastAsia="仿宋" w:hAnsi="仿宋" w:cs="仿宋" w:hint="eastAsia"/>
          <w:sz w:val="32"/>
          <w:szCs w:val="32"/>
          <w:lang w:val="en-US" w:eastAsia="zh-CN"/>
        </w:rPr>
        <w:t>374.95</w:t>
      </w:r>
      <w:r>
        <w:rPr>
          <w:rFonts w:ascii="仿宋" w:eastAsia="仿宋" w:hAnsi="仿宋" w:cs="仿宋" w:hint="eastAsia"/>
          <w:sz w:val="32"/>
          <w:szCs w:val="32"/>
        </w:rPr>
        <w:t>万元，完成年初预算的</w:t>
      </w:r>
      <w:r>
        <w:rPr>
          <w:rFonts w:ascii="仿宋" w:eastAsia="仿宋" w:hAnsi="仿宋" w:cs="仿宋" w:hint="eastAsia"/>
          <w:sz w:val="32"/>
          <w:szCs w:val="32"/>
          <w:lang w:val="en-US" w:eastAsia="zh-CN"/>
        </w:rPr>
        <w:t>71.06</w:t>
      </w:r>
      <w:r>
        <w:rPr>
          <w:rFonts w:ascii="仿宋" w:eastAsia="仿宋" w:hAnsi="仿宋" w:cs="仿宋" w:hint="eastAsia"/>
          <w:sz w:val="32"/>
          <w:szCs w:val="32"/>
        </w:rPr>
        <w:t>%，决算数</w:t>
      </w:r>
      <w:r>
        <w:rPr>
          <w:rFonts w:ascii="仿宋" w:eastAsia="仿宋" w:hAnsi="仿宋" w:cs="仿宋" w:hint="eastAsia"/>
          <w:sz w:val="32"/>
          <w:szCs w:val="32"/>
          <w:lang w:eastAsia="zh-CN"/>
        </w:rPr>
        <w:t>小</w:t>
      </w:r>
      <w:r>
        <w:rPr>
          <w:rFonts w:ascii="仿宋" w:eastAsia="仿宋" w:hAnsi="仿宋" w:cs="仿宋" w:hint="eastAsia"/>
          <w:sz w:val="32"/>
          <w:szCs w:val="32"/>
        </w:rPr>
        <w:t>于预算数的主要原因是</w:t>
      </w:r>
      <w:r>
        <w:rPr>
          <w:rFonts w:ascii="仿宋" w:eastAsia="仿宋" w:hAnsi="仿宋" w:cs="仿宋" w:hint="eastAsia"/>
          <w:sz w:val="32"/>
          <w:szCs w:val="32"/>
          <w:lang w:eastAsia="zh-CN"/>
        </w:rPr>
        <w:t>项目未完工，剩余款项于下年验收合格支付</w:t>
      </w:r>
      <w:r>
        <w:rPr>
          <w:rFonts w:ascii="仿宋" w:eastAsia="仿宋" w:hAnsi="仿宋" w:cs="仿宋" w:hint="eastAsia"/>
          <w:sz w:val="32"/>
          <w:szCs w:val="32"/>
        </w:rPr>
        <w:t>。</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val="en-US" w:eastAsia="zh-CN"/>
        </w:rPr>
        <w:t>2</w:t>
      </w:r>
      <w:r>
        <w:rPr>
          <w:rFonts w:ascii="仿宋" w:eastAsia="仿宋" w:hAnsi="仿宋" w:cs="仿宋" w:hint="eastAsia"/>
          <w:sz w:val="32"/>
          <w:szCs w:val="32"/>
        </w:rPr>
        <w:t>.</w:t>
      </w:r>
      <w:r>
        <w:rPr>
          <w:rFonts w:ascii="仿宋" w:eastAsia="仿宋" w:hAnsi="仿宋" w:cs="仿宋" w:hint="eastAsia"/>
          <w:b/>
          <w:sz w:val="32"/>
          <w:szCs w:val="32"/>
          <w:lang w:eastAsia="zh-CN"/>
        </w:rPr>
        <w:t>社会保障和就业</w:t>
      </w:r>
      <w:r>
        <w:rPr>
          <w:rFonts w:ascii="仿宋" w:eastAsia="仿宋" w:hAnsi="仿宋" w:cs="仿宋" w:hint="eastAsia"/>
          <w:b/>
          <w:sz w:val="32"/>
          <w:szCs w:val="32"/>
        </w:rPr>
        <w:t>（类）行政事业单位养老支出（款）</w:t>
      </w:r>
      <w:r>
        <w:rPr>
          <w:rFonts w:ascii="仿宋" w:eastAsia="仿宋" w:hAnsi="仿宋" w:cs="仿宋" w:hint="eastAsia"/>
          <w:b/>
          <w:sz w:val="32"/>
          <w:szCs w:val="32"/>
          <w:lang w:eastAsia="zh-CN"/>
        </w:rPr>
        <w:t>行政单位离退休</w:t>
      </w:r>
      <w:r>
        <w:rPr>
          <w:rFonts w:ascii="仿宋" w:eastAsia="仿宋" w:hAnsi="仿宋" w:cs="仿宋" w:hint="eastAsia"/>
          <w:b/>
          <w:sz w:val="32"/>
          <w:szCs w:val="32"/>
        </w:rPr>
        <w:t>（项）</w:t>
      </w:r>
      <w:r>
        <w:rPr>
          <w:rFonts w:ascii="仿宋" w:eastAsia="仿宋" w:hAnsi="仿宋" w:cs="仿宋" w:hint="eastAsia"/>
          <w:sz w:val="32"/>
          <w:szCs w:val="32"/>
        </w:rPr>
        <w:t>。年初预算为</w:t>
      </w:r>
      <w:r>
        <w:rPr>
          <w:rFonts w:ascii="仿宋" w:eastAsia="仿宋" w:hAnsi="仿宋" w:cs="仿宋" w:hint="eastAsia"/>
          <w:sz w:val="32"/>
          <w:szCs w:val="32"/>
          <w:lang w:val="en-US" w:eastAsia="zh-CN"/>
        </w:rPr>
        <w:t>0</w:t>
      </w:r>
      <w:r>
        <w:rPr>
          <w:rFonts w:ascii="仿宋" w:eastAsia="仿宋" w:hAnsi="仿宋" w:cs="仿宋" w:hint="eastAsia"/>
          <w:sz w:val="32"/>
          <w:szCs w:val="32"/>
        </w:rPr>
        <w:t>万元，支出决算为</w:t>
      </w:r>
      <w:r>
        <w:rPr>
          <w:rFonts w:ascii="仿宋" w:eastAsia="仿宋" w:hAnsi="仿宋" w:cs="仿宋" w:hint="eastAsia"/>
          <w:sz w:val="32"/>
          <w:szCs w:val="32"/>
          <w:lang w:val="en-US" w:eastAsia="zh-CN"/>
        </w:rPr>
        <w:t>0.38</w:t>
      </w:r>
      <w:r>
        <w:rPr>
          <w:rFonts w:ascii="仿宋" w:eastAsia="仿宋" w:hAnsi="仿宋" w:cs="仿宋" w:hint="eastAsia"/>
          <w:sz w:val="32"/>
          <w:szCs w:val="32"/>
        </w:rPr>
        <w:t>万元，决算数大于预算数的主要原因是</w:t>
      </w:r>
      <w:r>
        <w:rPr>
          <w:rFonts w:ascii="仿宋" w:eastAsia="仿宋" w:hAnsi="仿宋" w:cs="仿宋" w:hint="eastAsia"/>
          <w:sz w:val="32"/>
          <w:szCs w:val="32"/>
          <w:lang w:eastAsia="zh-CN"/>
        </w:rPr>
        <w:t>离休人员去世</w:t>
      </w:r>
      <w:r>
        <w:rPr>
          <w:rFonts w:ascii="仿宋" w:eastAsia="仿宋" w:hAnsi="仿宋" w:cs="仿宋" w:hint="eastAsia"/>
          <w:sz w:val="32"/>
          <w:szCs w:val="32"/>
        </w:rPr>
        <w:t>。</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val="en-US" w:eastAsia="zh-CN"/>
        </w:rPr>
        <w:t>3</w:t>
      </w:r>
      <w:r>
        <w:rPr>
          <w:rFonts w:ascii="仿宋" w:eastAsia="仿宋" w:hAnsi="仿宋" w:cs="仿宋" w:hint="eastAsia"/>
          <w:sz w:val="32"/>
          <w:szCs w:val="32"/>
        </w:rPr>
        <w:t>.</w:t>
      </w:r>
      <w:r>
        <w:rPr>
          <w:rFonts w:ascii="仿宋" w:eastAsia="仿宋" w:hAnsi="仿宋" w:cs="仿宋" w:hint="eastAsia"/>
          <w:b/>
          <w:sz w:val="32"/>
          <w:szCs w:val="32"/>
          <w:lang w:eastAsia="zh-CN"/>
        </w:rPr>
        <w:t>社会保障和就业</w:t>
      </w:r>
      <w:r>
        <w:rPr>
          <w:rFonts w:ascii="仿宋" w:eastAsia="仿宋" w:hAnsi="仿宋" w:cs="仿宋" w:hint="eastAsia"/>
          <w:b/>
          <w:sz w:val="32"/>
          <w:szCs w:val="32"/>
        </w:rPr>
        <w:t>（类）行政事业单位养老支出（款）</w:t>
      </w:r>
      <w:r>
        <w:rPr>
          <w:rFonts w:ascii="仿宋" w:eastAsia="仿宋" w:hAnsi="仿宋" w:cs="仿宋" w:hint="eastAsia"/>
          <w:b/>
          <w:sz w:val="32"/>
          <w:szCs w:val="32"/>
          <w:lang w:eastAsia="zh-CN"/>
        </w:rPr>
        <w:t>社会保障支出</w:t>
      </w:r>
      <w:r>
        <w:rPr>
          <w:rFonts w:ascii="仿宋" w:eastAsia="仿宋" w:hAnsi="仿宋" w:cs="仿宋" w:hint="eastAsia"/>
          <w:b/>
          <w:sz w:val="32"/>
          <w:szCs w:val="32"/>
        </w:rPr>
        <w:t>（项）</w:t>
      </w:r>
      <w:r>
        <w:rPr>
          <w:rFonts w:ascii="仿宋" w:eastAsia="仿宋" w:hAnsi="仿宋" w:cs="仿宋" w:hint="eastAsia"/>
          <w:sz w:val="32"/>
          <w:szCs w:val="32"/>
        </w:rPr>
        <w:t>。年初预算为</w:t>
      </w:r>
      <w:r>
        <w:rPr>
          <w:rFonts w:ascii="仿宋" w:eastAsia="仿宋" w:hAnsi="仿宋" w:cs="仿宋" w:hint="eastAsia"/>
          <w:sz w:val="32"/>
          <w:szCs w:val="32"/>
          <w:lang w:val="en-US" w:eastAsia="zh-CN"/>
        </w:rPr>
        <w:t>12.94</w:t>
      </w:r>
      <w:r>
        <w:rPr>
          <w:rFonts w:ascii="仿宋" w:eastAsia="仿宋" w:hAnsi="仿宋" w:cs="仿宋" w:hint="eastAsia"/>
          <w:sz w:val="32"/>
          <w:szCs w:val="32"/>
        </w:rPr>
        <w:t>万元，支出决算为</w:t>
      </w:r>
      <w:r>
        <w:rPr>
          <w:rFonts w:ascii="仿宋" w:eastAsia="仿宋" w:hAnsi="仿宋" w:cs="仿宋" w:hint="eastAsia"/>
          <w:sz w:val="32"/>
          <w:szCs w:val="32"/>
          <w:lang w:val="en-US" w:eastAsia="zh-CN"/>
        </w:rPr>
        <w:t>12.94</w:t>
      </w:r>
      <w:r>
        <w:rPr>
          <w:rFonts w:ascii="仿宋" w:eastAsia="仿宋" w:hAnsi="仿宋" w:cs="仿宋" w:hint="eastAsia"/>
          <w:sz w:val="32"/>
          <w:szCs w:val="32"/>
        </w:rPr>
        <w:t>万元，完成年初预算的</w:t>
      </w:r>
      <w:r>
        <w:rPr>
          <w:rFonts w:ascii="仿宋" w:eastAsia="仿宋" w:hAnsi="仿宋" w:cs="仿宋" w:hint="eastAsia"/>
          <w:sz w:val="32"/>
          <w:szCs w:val="32"/>
          <w:lang w:val="en-US" w:eastAsia="zh-CN"/>
        </w:rPr>
        <w:t>100</w:t>
      </w:r>
      <w:r>
        <w:rPr>
          <w:rFonts w:ascii="仿宋" w:eastAsia="仿宋" w:hAnsi="仿宋" w:cs="仿宋" w:hint="eastAsia"/>
          <w:sz w:val="32"/>
          <w:szCs w:val="32"/>
        </w:rPr>
        <w:t>%。</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val="en-US" w:eastAsia="zh-CN"/>
        </w:rPr>
        <w:t>4</w:t>
      </w:r>
      <w:r>
        <w:rPr>
          <w:rFonts w:ascii="仿宋" w:eastAsia="仿宋" w:hAnsi="仿宋" w:cs="仿宋" w:hint="eastAsia"/>
          <w:sz w:val="32"/>
          <w:szCs w:val="32"/>
        </w:rPr>
        <w:t>.</w:t>
      </w:r>
      <w:r>
        <w:rPr>
          <w:rFonts w:ascii="仿宋" w:eastAsia="仿宋" w:hAnsi="仿宋" w:cs="仿宋" w:hint="eastAsia"/>
          <w:b/>
          <w:sz w:val="32"/>
          <w:szCs w:val="32"/>
          <w:lang w:eastAsia="zh-CN"/>
        </w:rPr>
        <w:t>社会保障和就业</w:t>
      </w:r>
      <w:r>
        <w:rPr>
          <w:rFonts w:ascii="仿宋" w:eastAsia="仿宋" w:hAnsi="仿宋" w:cs="仿宋" w:hint="eastAsia"/>
          <w:b/>
          <w:sz w:val="32"/>
          <w:szCs w:val="32"/>
        </w:rPr>
        <w:t>（类）</w:t>
      </w:r>
      <w:r>
        <w:rPr>
          <w:rFonts w:ascii="仿宋" w:eastAsia="仿宋" w:hAnsi="仿宋" w:cs="仿宋" w:hint="eastAsia"/>
          <w:b/>
          <w:sz w:val="32"/>
          <w:szCs w:val="32"/>
          <w:lang w:eastAsia="zh-CN"/>
        </w:rPr>
        <w:t>抚恤</w:t>
      </w:r>
      <w:r>
        <w:rPr>
          <w:rFonts w:ascii="仿宋" w:eastAsia="仿宋" w:hAnsi="仿宋" w:cs="仿宋" w:hint="eastAsia"/>
          <w:b/>
          <w:sz w:val="32"/>
          <w:szCs w:val="32"/>
        </w:rPr>
        <w:t>（款）</w:t>
      </w:r>
      <w:r>
        <w:rPr>
          <w:rFonts w:ascii="仿宋" w:eastAsia="仿宋" w:hAnsi="仿宋" w:cs="仿宋" w:hint="eastAsia"/>
          <w:b/>
          <w:sz w:val="32"/>
          <w:szCs w:val="32"/>
          <w:lang w:eastAsia="zh-CN"/>
        </w:rPr>
        <w:t>死亡抚恤</w:t>
      </w:r>
      <w:r>
        <w:rPr>
          <w:rFonts w:ascii="仿宋" w:eastAsia="仿宋" w:hAnsi="仿宋" w:cs="仿宋" w:hint="eastAsia"/>
          <w:b/>
          <w:sz w:val="32"/>
          <w:szCs w:val="32"/>
        </w:rPr>
        <w:t>（项）</w:t>
      </w:r>
      <w:r>
        <w:rPr>
          <w:rFonts w:ascii="仿宋" w:eastAsia="仿宋" w:hAnsi="仿宋" w:cs="仿宋" w:hint="eastAsia"/>
          <w:sz w:val="32"/>
          <w:szCs w:val="32"/>
        </w:rPr>
        <w:t>。年初预算为</w:t>
      </w:r>
      <w:r>
        <w:rPr>
          <w:rFonts w:ascii="仿宋" w:eastAsia="仿宋" w:hAnsi="仿宋" w:cs="仿宋" w:hint="eastAsia"/>
          <w:sz w:val="32"/>
          <w:szCs w:val="32"/>
          <w:lang w:val="en-US" w:eastAsia="zh-CN"/>
        </w:rPr>
        <w:t>0</w:t>
      </w:r>
      <w:r>
        <w:rPr>
          <w:rFonts w:ascii="仿宋" w:eastAsia="仿宋" w:hAnsi="仿宋" w:cs="仿宋" w:hint="eastAsia"/>
          <w:sz w:val="32"/>
          <w:szCs w:val="32"/>
        </w:rPr>
        <w:t>万元，支出决算为</w:t>
      </w:r>
      <w:r>
        <w:rPr>
          <w:rFonts w:ascii="仿宋" w:eastAsia="仿宋" w:hAnsi="仿宋" w:cs="仿宋" w:hint="eastAsia"/>
          <w:sz w:val="32"/>
          <w:szCs w:val="32"/>
          <w:lang w:val="en-US" w:eastAsia="zh-CN"/>
        </w:rPr>
        <w:t>22.77</w:t>
      </w:r>
      <w:r>
        <w:rPr>
          <w:rFonts w:ascii="仿宋" w:eastAsia="仿宋" w:hAnsi="仿宋" w:cs="仿宋" w:hint="eastAsia"/>
          <w:sz w:val="32"/>
          <w:szCs w:val="32"/>
        </w:rPr>
        <w:t>万元，决算数大于预算数的主要原因是</w:t>
      </w:r>
      <w:r>
        <w:rPr>
          <w:rFonts w:ascii="仿宋" w:eastAsia="仿宋" w:hAnsi="仿宋" w:cs="仿宋" w:hint="eastAsia"/>
          <w:sz w:val="32"/>
          <w:szCs w:val="32"/>
          <w:lang w:eastAsia="zh-CN"/>
        </w:rPr>
        <w:t>离休人员去世</w:t>
      </w:r>
      <w:r>
        <w:rPr>
          <w:rFonts w:ascii="仿宋" w:eastAsia="仿宋" w:hAnsi="仿宋" w:cs="仿宋" w:hint="eastAsia"/>
          <w:sz w:val="32"/>
          <w:szCs w:val="32"/>
        </w:rPr>
        <w:t>。</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val="en-US" w:eastAsia="zh-CN"/>
        </w:rPr>
        <w:t>5</w:t>
      </w:r>
      <w:r>
        <w:rPr>
          <w:rFonts w:ascii="仿宋" w:eastAsia="仿宋" w:hAnsi="仿宋" w:cs="仿宋" w:hint="eastAsia"/>
          <w:sz w:val="32"/>
          <w:szCs w:val="32"/>
        </w:rPr>
        <w:t>.</w:t>
      </w:r>
      <w:r>
        <w:rPr>
          <w:rFonts w:ascii="仿宋" w:eastAsia="仿宋" w:hAnsi="仿宋" w:cs="仿宋" w:hint="eastAsia"/>
          <w:b/>
          <w:sz w:val="32"/>
          <w:szCs w:val="32"/>
        </w:rPr>
        <w:t>卫生健康支出（类）行政事业单位医疗（款）行政单位医疗（项）</w:t>
      </w:r>
      <w:r>
        <w:rPr>
          <w:rFonts w:ascii="仿宋" w:eastAsia="仿宋" w:hAnsi="仿宋" w:cs="仿宋" w:hint="eastAsia"/>
          <w:sz w:val="32"/>
          <w:szCs w:val="32"/>
        </w:rPr>
        <w:t>，年初预算为</w:t>
      </w:r>
      <w:r>
        <w:rPr>
          <w:rFonts w:ascii="仿宋" w:eastAsia="仿宋" w:hAnsi="仿宋" w:cs="仿宋" w:hint="eastAsia"/>
          <w:sz w:val="32"/>
          <w:szCs w:val="32"/>
          <w:lang w:val="en-US" w:eastAsia="zh-CN"/>
        </w:rPr>
        <w:t>8.28</w:t>
      </w:r>
      <w:r>
        <w:rPr>
          <w:rFonts w:ascii="仿宋" w:eastAsia="仿宋" w:hAnsi="仿宋" w:cs="仿宋" w:hint="eastAsia"/>
          <w:sz w:val="32"/>
          <w:szCs w:val="32"/>
        </w:rPr>
        <w:t>万元，支出决算为</w:t>
      </w:r>
      <w:r>
        <w:rPr>
          <w:rFonts w:ascii="仿宋" w:eastAsia="仿宋" w:hAnsi="仿宋" w:cs="仿宋" w:hint="eastAsia"/>
          <w:sz w:val="32"/>
          <w:szCs w:val="32"/>
          <w:lang w:val="en-US" w:eastAsia="zh-CN"/>
        </w:rPr>
        <w:t>8.28</w:t>
      </w:r>
      <w:r>
        <w:rPr>
          <w:rFonts w:ascii="仿宋" w:eastAsia="仿宋" w:hAnsi="仿宋" w:cs="仿宋" w:hint="eastAsia"/>
          <w:sz w:val="32"/>
          <w:szCs w:val="32"/>
        </w:rPr>
        <w:t>万元，完成年初预算的</w:t>
      </w:r>
      <w:r>
        <w:rPr>
          <w:rFonts w:ascii="仿宋" w:eastAsia="仿宋" w:hAnsi="仿宋" w:cs="仿宋" w:hint="eastAsia"/>
          <w:sz w:val="32"/>
          <w:szCs w:val="32"/>
          <w:lang w:val="en-US" w:eastAsia="zh-CN"/>
        </w:rPr>
        <w:t>100</w:t>
      </w:r>
      <w:r>
        <w:rPr>
          <w:rFonts w:ascii="仿宋" w:eastAsia="仿宋" w:hAnsi="仿宋" w:cs="仿宋" w:hint="eastAsia"/>
          <w:sz w:val="32"/>
          <w:szCs w:val="32"/>
        </w:rPr>
        <w:t>%。</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val="en-US" w:eastAsia="zh-CN"/>
        </w:rPr>
        <w:t>6</w:t>
      </w:r>
      <w:r>
        <w:rPr>
          <w:rFonts w:ascii="仿宋" w:eastAsia="仿宋" w:hAnsi="仿宋" w:cs="仿宋" w:hint="eastAsia"/>
          <w:sz w:val="32"/>
          <w:szCs w:val="32"/>
        </w:rPr>
        <w:t>.</w:t>
      </w:r>
      <w:r>
        <w:rPr>
          <w:rFonts w:ascii="仿宋" w:eastAsia="仿宋" w:hAnsi="仿宋" w:cs="仿宋" w:hint="eastAsia"/>
          <w:b/>
          <w:sz w:val="32"/>
          <w:szCs w:val="32"/>
        </w:rPr>
        <w:t>住房保障支出（类）住房改革支出（款）</w:t>
      </w:r>
      <w:r>
        <w:rPr>
          <w:rFonts w:ascii="仿宋" w:eastAsia="仿宋" w:hAnsi="仿宋" w:cs="仿宋" w:hint="eastAsia"/>
          <w:b/>
          <w:sz w:val="32"/>
          <w:szCs w:val="32"/>
          <w:lang w:eastAsia="zh-CN"/>
        </w:rPr>
        <w:t>住房公积金</w:t>
      </w:r>
      <w:r>
        <w:rPr>
          <w:rFonts w:ascii="仿宋" w:eastAsia="仿宋" w:hAnsi="仿宋" w:cs="仿宋" w:hint="eastAsia"/>
          <w:b/>
          <w:sz w:val="32"/>
          <w:szCs w:val="32"/>
        </w:rPr>
        <w:t>（项）</w:t>
      </w:r>
      <w:r>
        <w:rPr>
          <w:rFonts w:ascii="仿宋" w:eastAsia="仿宋" w:hAnsi="仿宋" w:cs="仿宋" w:hint="eastAsia"/>
          <w:sz w:val="32"/>
          <w:szCs w:val="32"/>
        </w:rPr>
        <w:t>，年初预算为</w:t>
      </w:r>
      <w:r>
        <w:rPr>
          <w:rFonts w:ascii="仿宋" w:eastAsia="仿宋" w:hAnsi="仿宋" w:cs="仿宋" w:hint="eastAsia"/>
          <w:sz w:val="32"/>
          <w:szCs w:val="32"/>
          <w:lang w:val="en-US" w:eastAsia="zh-CN"/>
        </w:rPr>
        <w:t>9.36</w:t>
      </w:r>
      <w:r>
        <w:rPr>
          <w:rFonts w:ascii="仿宋" w:eastAsia="仿宋" w:hAnsi="仿宋" w:cs="仿宋" w:hint="eastAsia"/>
          <w:sz w:val="32"/>
          <w:szCs w:val="32"/>
        </w:rPr>
        <w:t>万元，支出决算为</w:t>
      </w:r>
      <w:r>
        <w:rPr>
          <w:rFonts w:ascii="仿宋" w:eastAsia="仿宋" w:hAnsi="仿宋" w:cs="仿宋" w:hint="eastAsia"/>
          <w:sz w:val="32"/>
          <w:szCs w:val="32"/>
          <w:lang w:val="en-US" w:eastAsia="zh-CN"/>
        </w:rPr>
        <w:t>9.36</w:t>
      </w:r>
      <w:r>
        <w:rPr>
          <w:rFonts w:ascii="仿宋" w:eastAsia="仿宋" w:hAnsi="仿宋" w:cs="仿宋" w:hint="eastAsia"/>
          <w:sz w:val="32"/>
          <w:szCs w:val="32"/>
        </w:rPr>
        <w:t>万元，完成年初预算的</w:t>
      </w:r>
      <w:r>
        <w:rPr>
          <w:rFonts w:ascii="仿宋" w:eastAsia="仿宋" w:hAnsi="仿宋" w:cs="仿宋" w:hint="eastAsia"/>
          <w:sz w:val="32"/>
          <w:szCs w:val="32"/>
          <w:lang w:val="en-US" w:eastAsia="zh-CN"/>
        </w:rPr>
        <w:t>100</w:t>
      </w:r>
      <w:r>
        <w:rPr>
          <w:rFonts w:ascii="仿宋" w:eastAsia="仿宋" w:hAnsi="仿宋" w:cs="仿宋" w:hint="eastAsia"/>
          <w:sz w:val="32"/>
          <w:szCs w:val="32"/>
        </w:rPr>
        <w:t>%。</w:t>
      </w:r>
    </w:p>
    <w:p>
      <w:pPr>
        <w:ind w:firstLine="640" w:firstLineChars="200"/>
        <w:rPr>
          <w:rFonts w:ascii="黑体" w:eastAsia="黑体" w:hAnsi="仿宋" w:hint="eastAsia"/>
          <w:sz w:val="32"/>
          <w:szCs w:val="32"/>
        </w:rPr>
      </w:pPr>
      <w:r>
        <w:rPr>
          <w:rFonts w:ascii="黑体" w:eastAsia="黑体" w:hAnsi="仿宋" w:hint="eastAsia"/>
          <w:sz w:val="32"/>
          <w:szCs w:val="32"/>
        </w:rPr>
        <w:t>六、一般公共预算财政拨款基本支出决算情况说明</w:t>
      </w:r>
    </w:p>
    <w:p>
      <w:pPr>
        <w:ind w:firstLine="640" w:firstLineChars="200"/>
        <w:rPr>
          <w:rFonts w:ascii="仿宋" w:eastAsia="仿宋" w:hAnsi="仿宋" w:cs="仿宋" w:hint="eastAsia"/>
          <w:sz w:val="32"/>
          <w:szCs w:val="32"/>
        </w:rPr>
      </w:pPr>
      <w:r>
        <w:rPr>
          <w:rFonts w:ascii="仿宋" w:eastAsia="仿宋" w:hAnsi="仿宋" w:cs="仿宋" w:hint="eastAsia"/>
          <w:sz w:val="32"/>
          <w:szCs w:val="32"/>
          <w:lang w:eastAsia="zh-CN"/>
        </w:rPr>
        <w:t>2020</w:t>
      </w:r>
      <w:r>
        <w:rPr>
          <w:rFonts w:ascii="仿宋" w:eastAsia="仿宋" w:hAnsi="仿宋" w:cs="仿宋" w:hint="eastAsia"/>
          <w:sz w:val="32"/>
          <w:szCs w:val="32"/>
        </w:rPr>
        <w:t>年度财政拨款基本支出</w:t>
      </w:r>
      <w:r>
        <w:rPr>
          <w:rFonts w:ascii="仿宋" w:eastAsia="仿宋" w:hAnsi="仿宋" w:cs="仿宋" w:hint="eastAsia"/>
          <w:sz w:val="32"/>
          <w:szCs w:val="32"/>
          <w:lang w:val="en-US" w:eastAsia="zh-CN"/>
        </w:rPr>
        <w:t>239.97</w:t>
      </w:r>
      <w:r>
        <w:rPr>
          <w:rFonts w:ascii="仿宋" w:eastAsia="仿宋" w:hAnsi="仿宋" w:cs="仿宋" w:hint="eastAsia"/>
          <w:sz w:val="32"/>
          <w:szCs w:val="32"/>
        </w:rPr>
        <w:t>万元，其中人员经费</w:t>
      </w:r>
      <w:r>
        <w:rPr>
          <w:rFonts w:ascii="仿宋" w:eastAsia="仿宋" w:hAnsi="仿宋" w:cs="仿宋" w:hint="eastAsia"/>
          <w:sz w:val="32"/>
          <w:szCs w:val="32"/>
          <w:lang w:val="en-US" w:eastAsia="zh-CN"/>
        </w:rPr>
        <w:t>206.79</w:t>
      </w:r>
      <w:r>
        <w:rPr>
          <w:rFonts w:ascii="仿宋" w:eastAsia="仿宋" w:hAnsi="仿宋" w:cs="仿宋" w:hint="eastAsia"/>
          <w:sz w:val="32"/>
          <w:szCs w:val="32"/>
        </w:rPr>
        <w:t>万元，主要包括：基本工资、津贴补贴、奖金、伙食补助费、机关事业单位基本养老保险缴费</w:t>
      </w:r>
      <w:r>
        <w:rPr>
          <w:rFonts w:ascii="仿宋" w:eastAsia="仿宋" w:hAnsi="仿宋" w:cs="仿宋" w:hint="eastAsia"/>
          <w:sz w:val="32"/>
          <w:szCs w:val="32"/>
          <w:lang w:eastAsia="zh-CN"/>
        </w:rPr>
        <w:t>、公务员医疗补助缴费、住房公积金、</w:t>
      </w:r>
      <w:r>
        <w:rPr>
          <w:rFonts w:ascii="仿宋" w:eastAsia="仿宋" w:hAnsi="仿宋" w:cs="仿宋" w:hint="eastAsia"/>
          <w:sz w:val="32"/>
          <w:szCs w:val="32"/>
        </w:rPr>
        <w:t>抚恤金、生活补助；公用经费</w:t>
      </w:r>
      <w:r>
        <w:rPr>
          <w:rFonts w:ascii="仿宋" w:eastAsia="仿宋" w:hAnsi="仿宋" w:cs="仿宋" w:hint="eastAsia"/>
          <w:sz w:val="32"/>
          <w:szCs w:val="32"/>
          <w:lang w:val="en-US" w:eastAsia="zh-CN"/>
        </w:rPr>
        <w:t>33.18</w:t>
      </w:r>
      <w:r>
        <w:rPr>
          <w:rFonts w:ascii="仿宋" w:eastAsia="仿宋" w:hAnsi="仿宋" w:cs="仿宋" w:hint="eastAsia"/>
          <w:sz w:val="32"/>
          <w:szCs w:val="32"/>
        </w:rPr>
        <w:t>万元，主要包括：办公费、水费、电费、邮电费、差旅费、租赁费、会议费、培训费、公务接待费、委托业务费、工会经费、其他交通费用、税金及附加费用。</w:t>
      </w:r>
    </w:p>
    <w:p>
      <w:pPr>
        <w:ind w:firstLine="640" w:firstLineChars="200"/>
        <w:rPr>
          <w:rFonts w:ascii="黑体" w:eastAsia="黑体" w:hAnsi="仿宋" w:hint="eastAsia"/>
          <w:sz w:val="32"/>
          <w:szCs w:val="32"/>
        </w:rPr>
      </w:pPr>
      <w:r>
        <w:rPr>
          <w:rFonts w:ascii="黑体" w:eastAsia="黑体" w:hAnsi="仿宋" w:hint="eastAsia"/>
          <w:sz w:val="32"/>
          <w:szCs w:val="32"/>
        </w:rPr>
        <w:t>七、政府性基金财政拨款收入支出决算情况说明</w:t>
      </w:r>
    </w:p>
    <w:p>
      <w:pPr>
        <w:ind w:firstLine="640" w:firstLineChars="200"/>
        <w:rPr>
          <w:rFonts w:ascii="楷体_GB2312" w:eastAsia="楷体_GB2312" w:hAnsi="仿宋" w:hint="eastAsia"/>
          <w:sz w:val="32"/>
          <w:szCs w:val="32"/>
        </w:rPr>
      </w:pPr>
      <w:r>
        <w:rPr>
          <w:rFonts w:ascii="楷体_GB2312" w:eastAsia="楷体_GB2312" w:hAnsi="仿宋" w:hint="eastAsia"/>
          <w:sz w:val="32"/>
          <w:szCs w:val="32"/>
          <w:lang w:eastAsia="zh-CN"/>
        </w:rPr>
        <w:t>档案馆</w:t>
      </w:r>
      <w:r>
        <w:rPr>
          <w:rFonts w:ascii="楷体_GB2312" w:eastAsia="楷体_GB2312" w:hAnsi="仿宋" w:hint="eastAsia"/>
          <w:sz w:val="32"/>
          <w:szCs w:val="32"/>
        </w:rPr>
        <w:t>没有政府性基金收入，也没有使用政府性基金安排的支出。</w:t>
      </w:r>
    </w:p>
    <w:p>
      <w:pPr>
        <w:ind w:firstLine="640" w:firstLineChars="200"/>
        <w:rPr>
          <w:rFonts w:ascii="黑体" w:eastAsia="黑体" w:hAnsi="黑体" w:hint="eastAsia"/>
          <w:sz w:val="32"/>
          <w:szCs w:val="32"/>
        </w:rPr>
      </w:pPr>
      <w:r>
        <w:rPr>
          <w:rFonts w:ascii="黑体" w:eastAsia="黑体" w:hAnsi="黑体" w:hint="eastAsia"/>
          <w:sz w:val="32"/>
          <w:szCs w:val="32"/>
        </w:rPr>
        <w:t>八、国有资本经营预算财政拨款支出情况说明</w:t>
      </w:r>
    </w:p>
    <w:p>
      <w:pPr>
        <w:ind w:firstLine="640" w:firstLineChars="200"/>
        <w:rPr>
          <w:rFonts w:ascii="黑体" w:eastAsia="黑体" w:hAnsi="黑体" w:hint="eastAsia"/>
          <w:sz w:val="32"/>
          <w:szCs w:val="32"/>
        </w:rPr>
      </w:pPr>
      <w:r>
        <w:rPr>
          <w:rFonts w:ascii="楷体_GB2312" w:eastAsia="楷体_GB2312" w:hAnsi="仿宋" w:hint="eastAsia"/>
          <w:sz w:val="32"/>
          <w:szCs w:val="32"/>
          <w:lang w:eastAsia="zh-CN"/>
        </w:rPr>
        <w:t>档案馆</w:t>
      </w:r>
      <w:r>
        <w:rPr>
          <w:rFonts w:ascii="楷体_GB2312" w:eastAsia="楷体_GB2312" w:hAnsi="仿宋" w:hint="eastAsia"/>
          <w:sz w:val="32"/>
          <w:szCs w:val="32"/>
        </w:rPr>
        <w:t>没有国有资本经营预算财政拨款收入，也没有使用国有资本经营预算财政拨款安排的支出</w:t>
      </w:r>
      <w:r>
        <w:rPr>
          <w:rFonts w:ascii="楷体_GB2312" w:eastAsia="楷体_GB2312" w:hAnsi="仿宋" w:hint="eastAsia"/>
          <w:sz w:val="32"/>
          <w:szCs w:val="32"/>
          <w:lang w:eastAsia="zh-CN"/>
        </w:rPr>
        <w:t>。</w:t>
      </w:r>
    </w:p>
    <w:p>
      <w:pPr>
        <w:adjustRightInd w:val="0"/>
        <w:snapToGrid w:val="0"/>
        <w:spacing w:line="600" w:lineRule="exact"/>
        <w:ind w:firstLine="640" w:firstLineChars="200"/>
        <w:rPr>
          <w:rFonts w:ascii="黑体" w:eastAsia="黑体" w:hAnsi="黑体" w:hint="eastAsia"/>
          <w:sz w:val="32"/>
          <w:szCs w:val="32"/>
        </w:rPr>
      </w:pPr>
      <w:r>
        <w:rPr>
          <w:rFonts w:ascii="黑体" w:eastAsia="黑体" w:hAnsi="黑体" w:hint="eastAsia"/>
          <w:sz w:val="32"/>
          <w:szCs w:val="32"/>
        </w:rPr>
        <w:t>九、其他重要事项情况说明</w:t>
      </w:r>
    </w:p>
    <w:p>
      <w:pPr>
        <w:adjustRightInd w:val="0"/>
        <w:snapToGrid w:val="0"/>
        <w:spacing w:line="600" w:lineRule="exact"/>
        <w:ind w:firstLine="640" w:firstLineChars="200"/>
        <w:rPr>
          <w:rFonts w:ascii="仿宋_GB2312" w:eastAsia="仿宋_GB2312" w:hAnsi="楷体" w:hint="eastAsia"/>
          <w:b/>
          <w:sz w:val="32"/>
          <w:szCs w:val="32"/>
        </w:rPr>
      </w:pPr>
      <w:r>
        <w:rPr>
          <w:rFonts w:ascii="仿宋_GB2312" w:eastAsia="仿宋_GB2312" w:hAnsi="楷体" w:hint="eastAsia"/>
          <w:b/>
          <w:sz w:val="32"/>
          <w:szCs w:val="32"/>
        </w:rPr>
        <w:t>（一）机关运行经费支出情况。</w:t>
      </w:r>
    </w:p>
    <w:p>
      <w:pPr>
        <w:adjustRightInd w:val="0"/>
        <w:snapToGrid w:val="0"/>
        <w:spacing w:line="600" w:lineRule="exact"/>
        <w:ind w:firstLine="640" w:firstLineChars="200"/>
        <w:rPr>
          <w:rFonts w:ascii="仿宋_GB2312" w:eastAsia="仿宋_GB2312" w:hAnsi="仿宋" w:hint="eastAsia"/>
          <w:sz w:val="32"/>
          <w:szCs w:val="32"/>
        </w:rPr>
      </w:pPr>
      <w:r>
        <w:rPr>
          <w:rFonts w:ascii="仿宋_GB2312" w:eastAsia="仿宋_GB2312" w:hAnsi="仿宋" w:hint="eastAsia"/>
          <w:sz w:val="32"/>
          <w:szCs w:val="32"/>
        </w:rPr>
        <w:t>2020年度，</w:t>
      </w:r>
      <w:r>
        <w:rPr>
          <w:rFonts w:ascii="仿宋_GB2312" w:eastAsia="仿宋_GB2312" w:hAnsi="仿宋" w:hint="eastAsia"/>
          <w:sz w:val="32"/>
          <w:szCs w:val="32"/>
          <w:lang w:eastAsia="zh-CN"/>
        </w:rPr>
        <w:t>档案馆</w:t>
      </w:r>
      <w:r>
        <w:rPr>
          <w:rFonts w:ascii="仿宋_GB2312" w:eastAsia="仿宋_GB2312" w:hAnsi="仿宋" w:hint="eastAsia"/>
          <w:sz w:val="32"/>
          <w:szCs w:val="32"/>
        </w:rPr>
        <w:t>机关运行经费支出</w:t>
      </w:r>
      <w:r>
        <w:rPr>
          <w:rFonts w:ascii="仿宋_GB2312" w:eastAsia="仿宋_GB2312" w:hAnsi="仿宋" w:hint="eastAsia"/>
          <w:sz w:val="32"/>
          <w:szCs w:val="32"/>
          <w:lang w:val="en-US" w:eastAsia="zh-CN"/>
        </w:rPr>
        <w:t>33.18</w:t>
      </w:r>
      <w:r>
        <w:rPr>
          <w:rFonts w:ascii="仿宋_GB2312" w:eastAsia="仿宋_GB2312" w:hAnsi="仿宋" w:hint="eastAsia"/>
          <w:sz w:val="32"/>
          <w:szCs w:val="32"/>
        </w:rPr>
        <w:t>万元，比2019年增加</w:t>
      </w:r>
      <w:r>
        <w:rPr>
          <w:rFonts w:ascii="仿宋_GB2312" w:eastAsia="仿宋_GB2312" w:hAnsi="仿宋" w:hint="eastAsia"/>
          <w:sz w:val="32"/>
          <w:szCs w:val="32"/>
          <w:lang w:val="en-US" w:eastAsia="zh-CN"/>
        </w:rPr>
        <w:t>1.85</w:t>
      </w:r>
      <w:r>
        <w:rPr>
          <w:rFonts w:ascii="仿宋_GB2312" w:eastAsia="仿宋_GB2312" w:hAnsi="仿宋" w:hint="eastAsia"/>
          <w:sz w:val="32"/>
          <w:szCs w:val="32"/>
        </w:rPr>
        <w:t>万元，增长</w:t>
      </w:r>
      <w:r>
        <w:rPr>
          <w:rFonts w:ascii="仿宋_GB2312" w:eastAsia="仿宋_GB2312" w:hAnsi="仿宋" w:hint="eastAsia"/>
          <w:sz w:val="32"/>
          <w:szCs w:val="32"/>
          <w:lang w:val="en-US" w:eastAsia="zh-CN"/>
        </w:rPr>
        <w:t>5.9</w:t>
      </w:r>
      <w:r>
        <w:rPr>
          <w:rFonts w:ascii="仿宋_GB2312" w:eastAsia="仿宋_GB2312" w:hAnsi="仿宋" w:hint="eastAsia"/>
          <w:sz w:val="32"/>
          <w:szCs w:val="32"/>
        </w:rPr>
        <w:t>%，主要原因是</w:t>
      </w:r>
      <w:r>
        <w:rPr>
          <w:rFonts w:ascii="仿宋_GB2312" w:eastAsia="仿宋_GB2312" w:hAnsi="仿宋" w:hint="eastAsia"/>
          <w:sz w:val="32"/>
          <w:szCs w:val="32"/>
          <w:lang w:val="en-US" w:eastAsia="zh-CN"/>
        </w:rPr>
        <w:t>2020年新招录一人</w:t>
      </w:r>
      <w:r>
        <w:rPr>
          <w:rFonts w:ascii="仿宋_GB2312" w:eastAsia="仿宋_GB2312" w:hAnsi="仿宋" w:hint="eastAsia"/>
          <w:sz w:val="32"/>
          <w:szCs w:val="32"/>
        </w:rPr>
        <w:t>。</w:t>
      </w:r>
    </w:p>
    <w:p>
      <w:pPr>
        <w:adjustRightInd w:val="0"/>
        <w:snapToGrid w:val="0"/>
        <w:spacing w:line="600" w:lineRule="exact"/>
        <w:ind w:firstLine="640" w:firstLineChars="200"/>
        <w:rPr>
          <w:rFonts w:ascii="仿宋_GB2312" w:eastAsia="仿宋_GB2312" w:hAnsi="楷体" w:hint="eastAsia"/>
          <w:b/>
          <w:sz w:val="32"/>
          <w:szCs w:val="32"/>
        </w:rPr>
      </w:pPr>
      <w:r>
        <w:rPr>
          <w:rFonts w:ascii="仿宋_GB2312" w:eastAsia="仿宋_GB2312" w:hAnsi="楷体" w:hint="eastAsia"/>
          <w:b/>
          <w:sz w:val="32"/>
          <w:szCs w:val="32"/>
        </w:rPr>
        <w:t>（二）政府采购支出情况。</w:t>
      </w:r>
    </w:p>
    <w:p>
      <w:pPr>
        <w:adjustRightInd w:val="0"/>
        <w:snapToGrid w:val="0"/>
        <w:spacing w:line="600" w:lineRule="exact"/>
        <w:ind w:firstLine="640" w:firstLineChars="200"/>
        <w:rPr>
          <w:rFonts w:ascii="仿宋_GB2312" w:eastAsia="仿宋_GB2312" w:hAnsi="楷体" w:hint="eastAsia"/>
          <w:sz w:val="32"/>
          <w:szCs w:val="32"/>
        </w:rPr>
      </w:pPr>
      <w:r>
        <w:rPr>
          <w:rFonts w:ascii="仿宋_GB2312" w:eastAsia="仿宋_GB2312" w:hAnsi="仿宋" w:hint="eastAsia"/>
          <w:sz w:val="32"/>
          <w:szCs w:val="32"/>
        </w:rPr>
        <w:t>2020年度，</w:t>
      </w:r>
      <w:r>
        <w:rPr>
          <w:rFonts w:ascii="仿宋_GB2312" w:eastAsia="仿宋_GB2312" w:hAnsi="仿宋" w:hint="eastAsia"/>
          <w:sz w:val="32"/>
          <w:szCs w:val="32"/>
          <w:lang w:eastAsia="zh-CN"/>
        </w:rPr>
        <w:t>档案馆</w:t>
      </w:r>
      <w:r>
        <w:rPr>
          <w:rFonts w:ascii="仿宋_GB2312" w:eastAsia="仿宋_GB2312" w:hAnsi="仿宋" w:hint="eastAsia"/>
          <w:sz w:val="32"/>
          <w:szCs w:val="32"/>
        </w:rPr>
        <w:t>政府采购支出总额</w:t>
      </w:r>
      <w:r>
        <w:rPr>
          <w:rFonts w:ascii="仿宋_GB2312" w:eastAsia="仿宋_GB2312" w:hAnsi="仿宋" w:hint="eastAsia"/>
          <w:sz w:val="32"/>
          <w:szCs w:val="32"/>
          <w:lang w:val="en-US" w:eastAsia="zh-CN"/>
        </w:rPr>
        <w:t>0</w:t>
      </w:r>
      <w:r>
        <w:rPr>
          <w:rFonts w:ascii="仿宋_GB2312" w:eastAsia="仿宋_GB2312" w:hAnsi="仿宋" w:hint="eastAsia"/>
          <w:sz w:val="32"/>
          <w:szCs w:val="32"/>
        </w:rPr>
        <w:t>万元。</w:t>
      </w:r>
    </w:p>
    <w:p>
      <w:pPr>
        <w:adjustRightInd w:val="0"/>
        <w:snapToGrid w:val="0"/>
        <w:spacing w:line="600" w:lineRule="exact"/>
        <w:ind w:firstLine="640" w:firstLineChars="200"/>
        <w:rPr>
          <w:rFonts w:ascii="仿宋_GB2312" w:eastAsia="仿宋_GB2312" w:hAnsi="楷体" w:hint="eastAsia"/>
          <w:b/>
          <w:sz w:val="32"/>
          <w:szCs w:val="32"/>
        </w:rPr>
      </w:pPr>
      <w:r>
        <w:rPr>
          <w:rFonts w:ascii="仿宋_GB2312" w:eastAsia="仿宋_GB2312" w:hAnsi="楷体" w:hint="eastAsia"/>
          <w:b/>
          <w:sz w:val="32"/>
          <w:szCs w:val="32"/>
        </w:rPr>
        <w:t>（三）国有资产占有使用情况。</w:t>
      </w:r>
    </w:p>
    <w:p>
      <w:pPr>
        <w:adjustRightInd w:val="0"/>
        <w:snapToGrid w:val="0"/>
        <w:spacing w:line="600" w:lineRule="exact"/>
        <w:ind w:firstLine="640" w:firstLineChars="200"/>
        <w:rPr>
          <w:rFonts w:ascii="仿宋_GB2312" w:eastAsia="仿宋_GB2312" w:hAnsi="仿宋" w:hint="eastAsia"/>
          <w:b/>
          <w:bCs/>
          <w:sz w:val="32"/>
          <w:szCs w:val="32"/>
          <w:highlight w:val="none"/>
        </w:rPr>
      </w:pPr>
      <w:r>
        <w:rPr>
          <w:rFonts w:ascii="仿宋_GB2312" w:eastAsia="仿宋_GB2312" w:hAnsi="楷体" w:hint="eastAsia"/>
          <w:sz w:val="32"/>
          <w:szCs w:val="32"/>
        </w:rPr>
        <w:t>截至2020年12月31日，</w:t>
      </w:r>
      <w:r>
        <w:rPr>
          <w:rFonts w:ascii="仿宋_GB2312" w:eastAsia="仿宋_GB2312" w:hAnsi="仿宋" w:hint="eastAsia"/>
          <w:sz w:val="32"/>
          <w:szCs w:val="32"/>
          <w:lang w:eastAsia="zh-CN"/>
        </w:rPr>
        <w:t>档案馆</w:t>
      </w:r>
      <w:r>
        <w:rPr>
          <w:rFonts w:ascii="仿宋_GB2312" w:eastAsia="仿宋_GB2312" w:hAnsi="仿宋" w:hint="eastAsia"/>
          <w:sz w:val="32"/>
          <w:szCs w:val="32"/>
        </w:rPr>
        <w:t>共有车辆</w:t>
      </w:r>
      <w:r>
        <w:rPr>
          <w:rFonts w:ascii="仿宋_GB2312" w:eastAsia="仿宋_GB2312" w:hAnsi="仿宋" w:hint="eastAsia"/>
          <w:sz w:val="32"/>
          <w:szCs w:val="32"/>
          <w:lang w:val="en-US" w:eastAsia="zh-CN"/>
        </w:rPr>
        <w:t>0</w:t>
      </w:r>
      <w:r>
        <w:rPr>
          <w:rFonts w:ascii="仿宋_GB2312" w:eastAsia="仿宋_GB2312" w:hAnsi="仿宋" w:hint="eastAsia"/>
          <w:sz w:val="32"/>
          <w:szCs w:val="32"/>
        </w:rPr>
        <w:t>辆。</w:t>
      </w:r>
      <w:r>
        <w:rPr>
          <w:rFonts w:ascii="仿宋_GB2312" w:eastAsia="仿宋_GB2312" w:hAnsi="仿宋"/>
          <w:sz w:val="32"/>
          <w:szCs w:val="32"/>
        </w:rPr>
        <w:br/>
      </w:r>
      <w:r>
        <w:rPr>
          <w:rFonts w:ascii="仿宋_GB2312" w:eastAsia="仿宋_GB2312" w:hAnsi="仿宋" w:hint="eastAsia"/>
          <w:sz w:val="32"/>
          <w:szCs w:val="32"/>
        </w:rPr>
        <w:t xml:space="preserve"> </w:t>
      </w:r>
      <w:r>
        <w:rPr>
          <w:rFonts w:ascii="仿宋_GB2312" w:eastAsia="仿宋_GB2312" w:hAnsi="仿宋" w:hint="eastAsia"/>
          <w:b/>
          <w:bCs/>
          <w:i/>
          <w:iCs/>
          <w:sz w:val="32"/>
          <w:szCs w:val="32"/>
        </w:rPr>
        <w:t xml:space="preserve"> </w:t>
      </w:r>
      <w:r>
        <w:rPr>
          <w:rFonts w:ascii="仿宋_GB2312" w:eastAsia="仿宋_GB2312" w:hAnsi="仿宋" w:hint="eastAsia"/>
          <w:sz w:val="32"/>
          <w:szCs w:val="32"/>
        </w:rPr>
        <w:t xml:space="preserve"> </w:t>
      </w:r>
      <w:r>
        <w:rPr>
          <w:rFonts w:ascii="仿宋_GB2312" w:eastAsia="仿宋_GB2312" w:hAnsi="仿宋" w:hint="eastAsia"/>
          <w:b/>
          <w:bCs/>
          <w:sz w:val="32"/>
          <w:szCs w:val="32"/>
          <w:highlight w:val="none"/>
        </w:rPr>
        <w:t>（四）关于2020年度预算绩效情况说明</w:t>
      </w:r>
    </w:p>
    <w:p>
      <w:pPr>
        <w:ind w:firstLine="640" w:firstLineChars="200"/>
        <w:rPr>
          <w:rFonts w:ascii="仿宋_GB2312" w:eastAsia="仿宋_GB2312" w:hAnsi="仿宋_GB2312" w:cs="仿宋_GB2312"/>
          <w:b/>
          <w:bCs/>
          <w:sz w:val="32"/>
          <w:szCs w:val="32"/>
          <w:highlight w:val="none"/>
        </w:rPr>
      </w:pPr>
      <w:r>
        <w:rPr>
          <w:rFonts w:ascii="仿宋_GB2312" w:eastAsia="仿宋_GB2312" w:hAnsi="仿宋_GB2312" w:cs="仿宋_GB2312"/>
          <w:b/>
          <w:bCs/>
          <w:sz w:val="32"/>
          <w:szCs w:val="32"/>
          <w:highlight w:val="none"/>
        </w:rPr>
        <w:t>1.</w:t>
      </w:r>
      <w:r>
        <w:rPr>
          <w:rFonts w:ascii="仿宋_GB2312" w:eastAsia="仿宋_GB2312" w:hAnsi="仿宋_GB2312" w:cs="仿宋_GB2312" w:hint="eastAsia"/>
          <w:b/>
          <w:bCs/>
          <w:sz w:val="32"/>
          <w:szCs w:val="32"/>
          <w:highlight w:val="none"/>
        </w:rPr>
        <w:t>预算绩效管理工作开展情况</w:t>
      </w:r>
    </w:p>
    <w:p>
      <w:pPr>
        <w:ind w:firstLine="640" w:firstLineChars="200"/>
        <w:rPr>
          <w:rFonts w:ascii="仿宋_GB2312" w:eastAsia="仿宋_GB2312" w:hAnsi="仿宋_GB2312" w:cs="仿宋_GB2312"/>
          <w:sz w:val="32"/>
          <w:szCs w:val="32"/>
          <w:highlight w:val="none"/>
        </w:rPr>
      </w:pPr>
      <w:r>
        <w:rPr>
          <w:rFonts w:ascii="仿宋_GB2312" w:eastAsia="仿宋_GB2312" w:hAnsi="仿宋_GB2312" w:cs="仿宋_GB2312" w:hint="eastAsia"/>
          <w:sz w:val="32"/>
          <w:szCs w:val="32"/>
          <w:highlight w:val="none"/>
        </w:rPr>
        <w:t>根据预算绩效管理要求，本部门组织对</w:t>
      </w:r>
      <w:r>
        <w:rPr>
          <w:rFonts w:ascii="仿宋_GB2312" w:eastAsia="仿宋_GB2312" w:hAnsi="仿宋_GB2312" w:cs="仿宋_GB2312"/>
          <w:sz w:val="32"/>
          <w:szCs w:val="32"/>
          <w:highlight w:val="none"/>
        </w:rPr>
        <w:t>2020</w:t>
      </w:r>
      <w:r>
        <w:rPr>
          <w:rFonts w:ascii="仿宋_GB2312" w:eastAsia="仿宋_GB2312" w:hAnsi="仿宋_GB2312" w:cs="仿宋_GB2312" w:hint="eastAsia"/>
          <w:sz w:val="32"/>
          <w:szCs w:val="32"/>
          <w:highlight w:val="none"/>
        </w:rPr>
        <w:t>年度纳入部门预算的项目支出全面开展了绩效自评，共</w:t>
      </w:r>
      <w:r>
        <w:rPr>
          <w:rFonts w:ascii="仿宋_GB2312" w:eastAsia="仿宋_GB2312" w:hAnsi="仿宋_GB2312" w:cs="仿宋_GB2312" w:hint="eastAsia"/>
          <w:sz w:val="32"/>
          <w:szCs w:val="32"/>
          <w:highlight w:val="none"/>
          <w:lang w:val="en-US" w:eastAsia="zh-CN"/>
        </w:rPr>
        <w:t>4</w:t>
      </w:r>
      <w:r>
        <w:rPr>
          <w:rFonts w:ascii="仿宋_GB2312" w:eastAsia="仿宋_GB2312" w:hAnsi="仿宋_GB2312" w:cs="仿宋_GB2312" w:hint="eastAsia"/>
          <w:sz w:val="32"/>
          <w:szCs w:val="32"/>
          <w:highlight w:val="none"/>
        </w:rPr>
        <w:t>个项目，涉及资金</w:t>
      </w:r>
      <w:r>
        <w:rPr>
          <w:rFonts w:ascii="仿宋_GB2312" w:eastAsia="仿宋_GB2312" w:hAnsi="仿宋_GB2312" w:cs="仿宋_GB2312" w:hint="eastAsia"/>
          <w:sz w:val="32"/>
          <w:szCs w:val="32"/>
          <w:highlight w:val="none"/>
          <w:lang w:val="en-US" w:eastAsia="zh-CN"/>
        </w:rPr>
        <w:t>425</w:t>
      </w:r>
      <w:r>
        <w:rPr>
          <w:rFonts w:ascii="仿宋_GB2312" w:eastAsia="仿宋_GB2312" w:hAnsi="仿宋_GB2312" w:cs="仿宋_GB2312" w:hint="eastAsia"/>
          <w:sz w:val="32"/>
          <w:szCs w:val="32"/>
          <w:highlight w:val="none"/>
        </w:rPr>
        <w:t>万元，占项目预算总额的</w:t>
      </w:r>
      <w:r>
        <w:rPr>
          <w:rFonts w:ascii="仿宋_GB2312" w:eastAsia="仿宋_GB2312" w:hAnsi="仿宋_GB2312" w:cs="仿宋_GB2312" w:hint="eastAsia"/>
          <w:sz w:val="32"/>
          <w:szCs w:val="32"/>
          <w:highlight w:val="none"/>
          <w:lang w:val="en-US" w:eastAsia="zh-CN"/>
        </w:rPr>
        <w:t>100</w:t>
      </w:r>
      <w:r>
        <w:rPr>
          <w:rFonts w:ascii="仿宋_GB2312" w:eastAsia="仿宋_GB2312" w:hAnsi="仿宋_GB2312" w:cs="仿宋_GB2312"/>
          <w:sz w:val="32"/>
          <w:szCs w:val="32"/>
          <w:highlight w:val="none"/>
        </w:rPr>
        <w:t>%</w:t>
      </w:r>
      <w:r>
        <w:rPr>
          <w:rFonts w:ascii="仿宋_GB2312" w:eastAsia="仿宋_GB2312" w:hAnsi="仿宋_GB2312" w:cs="仿宋_GB2312" w:hint="eastAsia"/>
          <w:sz w:val="32"/>
          <w:szCs w:val="32"/>
          <w:highlight w:val="none"/>
        </w:rPr>
        <w:t>。</w:t>
      </w:r>
      <w:r>
        <w:rPr>
          <w:rFonts w:ascii="楷体_GB2312" w:eastAsia="楷体_GB2312" w:hAnsi="楷体_GB2312" w:cs="楷体_GB2312" w:hint="eastAsia"/>
          <w:sz w:val="32"/>
          <w:szCs w:val="32"/>
          <w:highlight w:val="none"/>
        </w:rPr>
        <w:t>（概括表述项目绩效情况，是否达到了预期绩效目标）</w:t>
      </w:r>
      <w:r>
        <w:rPr>
          <w:rFonts w:ascii="仿宋_GB2312" w:eastAsia="仿宋_GB2312" w:hAnsi="仿宋_GB2312" w:cs="仿宋_GB2312" w:hint="eastAsia"/>
          <w:sz w:val="32"/>
          <w:szCs w:val="32"/>
          <w:highlight w:val="none"/>
        </w:rPr>
        <w:t>。</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ascii="仿宋" w:eastAsia="仿宋" w:hAnsi="仿宋" w:cs="仿宋_GB2312" w:hint="eastAsia"/>
          <w:kern w:val="0"/>
          <w:sz w:val="32"/>
          <w:szCs w:val="32"/>
          <w:lang w:val="en-US" w:eastAsia="zh-CN" w:bidi="ar-SA"/>
        </w:rPr>
      </w:pPr>
      <w:r>
        <w:rPr>
          <w:rFonts w:ascii="仿宋_GB2312" w:eastAsia="仿宋_GB2312" w:hAnsi="仿宋_GB2312" w:cs="仿宋_GB2312" w:hint="eastAsia"/>
          <w:sz w:val="32"/>
          <w:szCs w:val="32"/>
          <w:highlight w:val="none"/>
        </w:rPr>
        <w:t>本部门共组织对“</w:t>
      </w:r>
      <w:r>
        <w:rPr>
          <w:rFonts w:ascii="仿宋_GB2312" w:eastAsia="仿宋_GB2312" w:hAnsi="仿宋_GB2312" w:cs="仿宋_GB2312" w:hint="eastAsia"/>
          <w:b/>
          <w:bCs/>
          <w:sz w:val="32"/>
          <w:szCs w:val="32"/>
          <w:highlight w:val="none"/>
          <w:lang w:eastAsia="zh-CN"/>
        </w:rPr>
        <w:t>档案保护经费</w:t>
      </w:r>
      <w:r>
        <w:rPr>
          <w:rFonts w:ascii="仿宋_GB2312" w:eastAsia="仿宋_GB2312" w:hAnsi="仿宋_GB2312" w:cs="仿宋_GB2312" w:hint="eastAsia"/>
          <w:sz w:val="32"/>
          <w:szCs w:val="32"/>
          <w:highlight w:val="none"/>
        </w:rPr>
        <w:t>”项目开展了部门绩效评价，涉及资金</w:t>
      </w:r>
      <w:r>
        <w:rPr>
          <w:rFonts w:ascii="仿宋_GB2312" w:eastAsia="仿宋_GB2312" w:hAnsi="仿宋_GB2312" w:cs="仿宋_GB2312" w:hint="eastAsia"/>
          <w:sz w:val="32"/>
          <w:szCs w:val="32"/>
          <w:highlight w:val="none"/>
          <w:lang w:val="en-US" w:eastAsia="zh-CN"/>
        </w:rPr>
        <w:t>385</w:t>
      </w:r>
      <w:r>
        <w:rPr>
          <w:rFonts w:ascii="仿宋_GB2312" w:eastAsia="仿宋_GB2312" w:hAnsi="仿宋_GB2312" w:cs="仿宋_GB2312" w:hint="eastAsia"/>
          <w:sz w:val="32"/>
          <w:szCs w:val="32"/>
          <w:highlight w:val="none"/>
        </w:rPr>
        <w:t>万元。该项目开展绩效评价的组织方式</w:t>
      </w:r>
      <w:r>
        <w:rPr>
          <w:rFonts w:ascii="仿宋_GB2312" w:eastAsia="仿宋_GB2312" w:hAnsi="仿宋_GB2312" w:cs="仿宋_GB2312" w:hint="eastAsia"/>
          <w:sz w:val="32"/>
          <w:szCs w:val="32"/>
          <w:highlight w:val="none"/>
          <w:lang w:eastAsia="zh-CN"/>
        </w:rPr>
        <w:t>为</w:t>
      </w:r>
      <w:r>
        <w:rPr>
          <w:rFonts w:ascii="仿宋_GB2312" w:eastAsia="仿宋_GB2312" w:hAnsi="仿宋_GB2312" w:cs="仿宋_GB2312" w:hint="eastAsia"/>
          <w:sz w:val="32"/>
          <w:szCs w:val="32"/>
          <w:highlight w:val="none"/>
        </w:rPr>
        <w:t>部门自主实施。从评价情况看，</w:t>
      </w:r>
      <w:r>
        <w:rPr>
          <w:rFonts w:ascii="仿宋_GB2312" w:eastAsia="仿宋_GB2312" w:hAnsi="仿宋_GB2312" w:cs="仿宋_GB2312" w:hint="eastAsia"/>
          <w:sz w:val="32"/>
          <w:szCs w:val="32"/>
          <w:highlight w:val="none"/>
          <w:lang w:val="en-US" w:eastAsia="zh-CN"/>
        </w:rPr>
        <w:t>本项目资金2020年由市财政及时予以安排落实到账。项目实际总</w:t>
      </w:r>
      <w:r>
        <w:rPr>
          <w:rFonts w:ascii="仿宋" w:eastAsia="仿宋" w:hAnsi="仿宋" w:cs="仿宋_GB2312" w:hint="eastAsia"/>
          <w:kern w:val="0"/>
          <w:sz w:val="32"/>
          <w:szCs w:val="32"/>
          <w:lang w:val="en-US" w:eastAsia="zh-CN" w:bidi="ar-SA"/>
        </w:rPr>
        <w:t>投入570万元，分三个年度。由于本项目受疫情影响，进度变缓。</w:t>
      </w:r>
    </w:p>
    <w:p>
      <w:pPr>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ascii="仿宋" w:eastAsia="仿宋" w:hAnsi="仿宋" w:cs="仿宋_GB2312" w:hint="eastAsia"/>
          <w:kern w:val="0"/>
          <w:sz w:val="32"/>
          <w:szCs w:val="32"/>
          <w:lang w:val="en-US" w:eastAsia="zh-CN" w:bidi="ar-SA"/>
        </w:rPr>
      </w:pPr>
      <w:r>
        <w:rPr>
          <w:rFonts w:ascii="仿宋" w:eastAsia="仿宋" w:hAnsi="仿宋" w:cs="仿宋_GB2312" w:hint="eastAsia"/>
          <w:kern w:val="0"/>
          <w:sz w:val="32"/>
          <w:szCs w:val="32"/>
          <w:lang w:val="en-US" w:eastAsia="zh-CN" w:bidi="ar-SA"/>
        </w:rPr>
        <w:t>本项目成本控制比较合理，没有出现浪费现象，由于馆藏档案信息化是一个延续多年的项目，因此现在所有预算资金全部要用于档案信息化、数字化，不存在节约多少的问题。项目完成质量方面，档案数字化整体质量较好。本项目资金使用效果明显，已数字化的档案可以在档案管理系统平台上方便查阅，减少了纸质实体档案的使用，保护了原始档案，降低了工作人员的劳动强度，提高了档案的查全率和查准率，方便了机关事业单位和普通老百姓。本项目县政府已同意逐年安排资金，用于馆藏档案的信息化，资金后续有保障，人员和机构已基本固定，管理措施到位，后续工作将逐年正常开展。本项目资金使用合规，无截留、挪用现象，资金使用已产生社会效益和经济效益。</w:t>
      </w:r>
    </w:p>
    <w:p>
      <w:pPr>
        <w:pStyle w:val="BodyTextIndent"/>
        <w:keepNext w:val="0"/>
        <w:keepLines w:val="0"/>
        <w:pageBreakBefore w:val="0"/>
        <w:kinsoku/>
        <w:wordWrap/>
        <w:overflowPunct/>
        <w:topLinePunct w:val="0"/>
        <w:autoSpaceDE/>
        <w:autoSpaceDN/>
        <w:bidi w:val="0"/>
        <w:spacing w:line="360" w:lineRule="auto"/>
        <w:ind w:firstLine="640" w:firstLineChars="200"/>
        <w:jc w:val="both"/>
        <w:textAlignment w:val="auto"/>
        <w:rPr>
          <w:rFonts w:ascii="仿宋" w:eastAsia="仿宋" w:hAnsi="仿宋" w:cs="仿宋_GB2312" w:hint="default"/>
          <w:sz w:val="32"/>
          <w:szCs w:val="32"/>
          <w:lang w:val="en-US" w:eastAsia="zh-CN"/>
        </w:rPr>
      </w:pPr>
      <w:r>
        <w:rPr>
          <w:rFonts w:ascii="仿宋_GB2312" w:eastAsia="仿宋_GB2312" w:hAnsi="仿宋_GB2312" w:cs="仿宋_GB2312" w:hint="eastAsia"/>
          <w:sz w:val="32"/>
          <w:szCs w:val="32"/>
          <w:highlight w:val="none"/>
        </w:rPr>
        <w:t>组织开展</w:t>
      </w:r>
      <w:r>
        <w:rPr>
          <w:rFonts w:ascii="仿宋_GB2312" w:eastAsia="仿宋_GB2312" w:hAnsi="仿宋_GB2312" w:cs="仿宋_GB2312"/>
          <w:sz w:val="32"/>
          <w:szCs w:val="32"/>
          <w:highlight w:val="none"/>
        </w:rPr>
        <w:t>2020</w:t>
      </w:r>
      <w:r>
        <w:rPr>
          <w:rFonts w:ascii="仿宋_GB2312" w:eastAsia="仿宋_GB2312" w:hAnsi="仿宋_GB2312" w:cs="仿宋_GB2312" w:hint="eastAsia"/>
          <w:sz w:val="32"/>
          <w:szCs w:val="32"/>
          <w:highlight w:val="none"/>
        </w:rPr>
        <w:t>年度部门整体支出绩效自评。评价结果显示，</w:t>
      </w:r>
      <w:r>
        <w:rPr>
          <w:rFonts w:ascii="仿宋" w:eastAsia="仿宋" w:hAnsi="仿宋" w:cs="仿宋_GB2312" w:hint="eastAsia"/>
          <w:sz w:val="32"/>
          <w:szCs w:val="32"/>
          <w:lang w:val="en-US" w:eastAsia="zh-CN"/>
        </w:rPr>
        <w:t>总体上来说，部门总体支出达到了预期绩效目标。受疫情等情况影响，部门项目推进变缓，资金支付推迟，项目支出与预期绩效目标有差距。总体与2019年相比，支出绩效又有了一定的提升。三公经费总体支出比上年减少，体现了节能绿色出行、节俭和切实转变作风，经济性有了较大提升；县委、县政府高度重视档案事业的发展，包括档案管理项目资金在内的经费已列入县财政常年性预算。作为履职单位，我馆大力提倡勤俭节约，坚持把有限的经费用在档案事业上，坚持馆班子集体管财，严格项目资金管理，严格按相关规定审核每一笔开支，严格审批程序，坚持财务开支一支笔，这些措施，较好地保证了财务开支和资金使用的合法合规、安全有效。逐步加大单位内部控制力度，用制度管人管事管财，必将有力保证寿县档案事业的可持续性发展。</w:t>
      </w:r>
    </w:p>
    <w:p>
      <w:pPr>
        <w:ind w:firstLine="640" w:firstLineChars="200"/>
        <w:rPr>
          <w:rFonts w:ascii="仿宋_GB2312" w:eastAsia="仿宋_GB2312" w:hAnsi="仿宋_GB2312" w:cs="仿宋_GB2312"/>
          <w:b/>
          <w:bCs/>
          <w:sz w:val="32"/>
          <w:szCs w:val="32"/>
          <w:highlight w:val="none"/>
        </w:rPr>
      </w:pPr>
      <w:r>
        <w:rPr>
          <w:rFonts w:ascii="仿宋_GB2312" w:eastAsia="仿宋_GB2312" w:hAnsi="仿宋_GB2312" w:cs="仿宋_GB2312"/>
          <w:b/>
          <w:bCs/>
          <w:sz w:val="32"/>
          <w:szCs w:val="32"/>
          <w:highlight w:val="none"/>
        </w:rPr>
        <w:t>2.</w:t>
      </w:r>
      <w:r>
        <w:rPr>
          <w:rFonts w:ascii="仿宋_GB2312" w:eastAsia="仿宋_GB2312" w:hAnsi="仿宋_GB2312" w:cs="仿宋_GB2312" w:hint="eastAsia"/>
          <w:b/>
          <w:bCs/>
          <w:sz w:val="32"/>
          <w:szCs w:val="32"/>
          <w:highlight w:val="none"/>
        </w:rPr>
        <w:t>部门决算中项目绩效自评结果</w:t>
      </w:r>
      <w:r>
        <w:rPr>
          <w:rFonts w:ascii="仿宋_GB2312" w:eastAsia="仿宋_GB2312" w:hAnsi="仿宋_GB2312" w:cs="仿宋_GB2312"/>
          <w:b/>
          <w:bCs/>
          <w:sz w:val="32"/>
          <w:szCs w:val="32"/>
          <w:highlight w:val="none"/>
        </w:rPr>
        <w:t>(</w:t>
      </w:r>
      <w:r>
        <w:rPr>
          <w:rFonts w:ascii="仿宋_GB2312" w:eastAsia="仿宋_GB2312" w:hAnsi="仿宋_GB2312" w:cs="仿宋_GB2312" w:hint="eastAsia"/>
          <w:b/>
          <w:bCs/>
          <w:sz w:val="32"/>
          <w:szCs w:val="32"/>
          <w:highlight w:val="none"/>
        </w:rPr>
        <w:t>指</w:t>
      </w:r>
      <w:r>
        <w:rPr>
          <w:rFonts w:ascii="仿宋_GB2312" w:eastAsia="仿宋_GB2312" w:hAnsi="仿宋_GB2312" w:cs="仿宋_GB2312" w:hint="eastAsia"/>
          <w:b/>
          <w:bCs/>
          <w:sz w:val="32"/>
          <w:szCs w:val="32"/>
          <w:highlight w:val="none"/>
          <w:lang w:eastAsia="zh-CN"/>
        </w:rPr>
        <w:t>县</w:t>
      </w:r>
      <w:r>
        <w:rPr>
          <w:rFonts w:ascii="仿宋_GB2312" w:eastAsia="仿宋_GB2312" w:hAnsi="仿宋_GB2312" w:cs="仿宋_GB2312" w:hint="eastAsia"/>
          <w:b/>
          <w:bCs/>
          <w:sz w:val="32"/>
          <w:szCs w:val="32"/>
          <w:highlight w:val="none"/>
        </w:rPr>
        <w:t>财政批复绩效目标的项目）</w:t>
      </w:r>
    </w:p>
    <w:p>
      <w:pPr>
        <w:ind w:firstLine="640"/>
        <w:rPr>
          <w:rFonts w:ascii="仿宋_GB2312" w:eastAsia="仿宋_GB2312" w:hAnsi="仿宋_GB2312" w:cs="仿宋_GB2312" w:hint="eastAsia"/>
          <w:sz w:val="32"/>
          <w:szCs w:val="32"/>
          <w:highlight w:val="none"/>
          <w:lang w:eastAsia="zh-CN"/>
        </w:rPr>
      </w:pPr>
      <w:r>
        <w:rPr>
          <w:rFonts w:ascii="仿宋_GB2312" w:eastAsia="仿宋_GB2312" w:hAnsi="仿宋" w:hint="eastAsia"/>
          <w:sz w:val="32"/>
          <w:szCs w:val="32"/>
          <w:highlight w:val="none"/>
          <w:lang w:eastAsia="zh-CN"/>
        </w:rPr>
        <w:t>寿县</w:t>
      </w:r>
      <w:r>
        <w:rPr>
          <w:rFonts w:ascii="仿宋_GB2312" w:eastAsia="仿宋_GB2312" w:hAnsi="仿宋_GB2312" w:cs="仿宋_GB2312" w:hint="eastAsia"/>
          <w:sz w:val="32"/>
          <w:szCs w:val="32"/>
          <w:highlight w:val="none"/>
          <w:lang w:eastAsia="zh-CN"/>
        </w:rPr>
        <w:t>档案馆</w:t>
      </w:r>
      <w:r>
        <w:rPr>
          <w:rFonts w:ascii="仿宋_GB2312" w:eastAsia="仿宋_GB2312" w:hAnsi="仿宋_GB2312" w:cs="仿宋_GB2312" w:hint="eastAsia"/>
          <w:sz w:val="32"/>
          <w:szCs w:val="32"/>
          <w:highlight w:val="none"/>
        </w:rPr>
        <w:t>在</w:t>
      </w:r>
      <w:r>
        <w:rPr>
          <w:rFonts w:ascii="仿宋_GB2312" w:eastAsia="仿宋_GB2312" w:hAnsi="仿宋_GB2312" w:cs="仿宋_GB2312"/>
          <w:sz w:val="32"/>
          <w:szCs w:val="32"/>
          <w:highlight w:val="none"/>
        </w:rPr>
        <w:t>2020</w:t>
      </w:r>
      <w:r>
        <w:rPr>
          <w:rFonts w:ascii="仿宋_GB2312" w:eastAsia="仿宋_GB2312" w:hAnsi="仿宋_GB2312" w:cs="仿宋_GB2312" w:hint="eastAsia"/>
          <w:sz w:val="32"/>
          <w:szCs w:val="32"/>
          <w:highlight w:val="none"/>
        </w:rPr>
        <w:t>年度部门决算中</w:t>
      </w:r>
      <w:r>
        <w:rPr>
          <w:rFonts w:ascii="仿宋_GB2312" w:eastAsia="仿宋_GB2312" w:hAnsi="仿宋_GB2312" w:cs="仿宋_GB2312" w:hint="eastAsia"/>
          <w:sz w:val="32"/>
          <w:szCs w:val="32"/>
          <w:highlight w:val="none"/>
          <w:lang w:eastAsia="zh-CN"/>
        </w:rPr>
        <w:t>没有需要公开相关绩效自评结果的项目。</w:t>
      </w:r>
    </w:p>
    <w:p>
      <w:pPr>
        <w:adjustRightInd w:val="0"/>
        <w:snapToGrid w:val="0"/>
        <w:spacing w:line="600" w:lineRule="exact"/>
        <w:ind w:firstLine="640" w:firstLineChars="200"/>
        <w:rPr>
          <w:rFonts w:ascii="黑体" w:eastAsia="黑体" w:hAnsi="黑体" w:hint="eastAsia"/>
          <w:sz w:val="32"/>
          <w:szCs w:val="32"/>
        </w:rPr>
      </w:pPr>
      <w:r>
        <w:rPr>
          <w:rFonts w:ascii="黑体" w:eastAsia="黑体" w:hAnsi="黑体" w:hint="eastAsia"/>
          <w:sz w:val="32"/>
          <w:szCs w:val="32"/>
        </w:rPr>
        <w:t>第四部分 名词解释</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left="425" w:right="0" w:firstLine="205" w:rightChars="0" w:firstLineChars="64"/>
        <w:textAlignment w:val="auto"/>
        <w:outlineLvl w:val="9"/>
        <w:rPr>
          <w:rFonts w:ascii="仿宋_GB2312" w:eastAsia="仿宋_GB2312" w:hAnsi="仿宋" w:hint="eastAsia"/>
          <w:sz w:val="32"/>
          <w:szCs w:val="32"/>
        </w:rPr>
      </w:pPr>
      <w:r>
        <w:rPr>
          <w:rFonts w:ascii="仿宋_GB2312" w:eastAsia="仿宋_GB2312" w:hAnsi="黑体" w:cs="宋体" w:hint="eastAsia"/>
          <w:b/>
          <w:bCs/>
          <w:kern w:val="0"/>
          <w:sz w:val="32"/>
          <w:szCs w:val="32"/>
          <w:lang w:val="en-US" w:eastAsia="zh-CN" w:bidi="ar-SA"/>
        </w:rPr>
        <w:t>一、财政拨款收入</w:t>
      </w:r>
      <w:r>
        <w:rPr>
          <w:rFonts w:ascii="仿宋_GB2312" w:eastAsia="仿宋_GB2312" w:hAnsi="仿宋" w:hint="eastAsia"/>
          <w:b/>
          <w:sz w:val="32"/>
          <w:szCs w:val="32"/>
        </w:rPr>
        <w:t>：</w:t>
      </w:r>
      <w:r>
        <w:rPr>
          <w:rFonts w:ascii="仿宋_GB2312" w:eastAsia="仿宋_GB2312" w:hAnsi="仿宋" w:hint="eastAsia"/>
          <w:sz w:val="32"/>
          <w:szCs w:val="32"/>
        </w:rPr>
        <w:t>指单位从同级财政部门取得的财政预算资金。</w:t>
      </w:r>
    </w:p>
    <w:p>
      <w:pPr>
        <w:keepNext w:val="0"/>
        <w:keepLines w:val="0"/>
        <w:pageBreakBefore w:val="0"/>
        <w:kinsoku/>
        <w:wordWrap/>
        <w:overflowPunct/>
        <w:topLinePunct w:val="0"/>
        <w:autoSpaceDE/>
        <w:autoSpaceDN/>
        <w:bidi w:val="0"/>
        <w:adjustRightInd w:val="0"/>
        <w:snapToGrid w:val="0"/>
        <w:spacing w:beforeAutospacing="0" w:afterAutospacing="0" w:line="600" w:lineRule="exact"/>
        <w:ind w:right="0" w:firstLine="640" w:rightChars="0" w:firstLineChars="200"/>
        <w:textAlignment w:val="auto"/>
        <w:outlineLvl w:val="9"/>
        <w:rPr>
          <w:rFonts w:ascii="仿宋_GB2312" w:eastAsia="仿宋_GB2312" w:hAnsi="仿宋" w:hint="eastAsia"/>
          <w:sz w:val="32"/>
          <w:szCs w:val="32"/>
        </w:rPr>
      </w:pPr>
      <w:r>
        <w:rPr>
          <w:rFonts w:ascii="仿宋_GB2312" w:eastAsia="仿宋_GB2312" w:hAnsi="黑体" w:cs="宋体" w:hint="eastAsia"/>
          <w:b/>
          <w:bCs/>
          <w:kern w:val="0"/>
          <w:sz w:val="32"/>
          <w:szCs w:val="32"/>
          <w:lang w:val="en-US" w:eastAsia="zh-CN" w:bidi="ar-SA"/>
        </w:rPr>
        <w:t>二、事业收入：</w:t>
      </w:r>
      <w:r>
        <w:rPr>
          <w:rFonts w:ascii="仿宋_GB2312" w:eastAsia="仿宋_GB2312" w:hAnsi="仿宋" w:hint="eastAsia"/>
          <w:sz w:val="32"/>
          <w:szCs w:val="32"/>
        </w:rPr>
        <w:t>指事业单位开展专业业务活动及辅助活动所取得的收入。</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hAnsi="黑体"/>
          <w:b/>
          <w:bCs/>
          <w:szCs w:val="32"/>
        </w:rPr>
      </w:pPr>
      <w:r>
        <w:rPr>
          <w:rFonts w:ascii="仿宋_GB2312" w:eastAsia="仿宋_GB2312" w:hAnsi="黑体" w:hint="eastAsia"/>
          <w:b/>
          <w:sz w:val="32"/>
          <w:szCs w:val="32"/>
        </w:rPr>
        <w:t>三、</w:t>
      </w:r>
      <w:r>
        <w:rPr>
          <w:rFonts w:ascii="仿宋_GB2312" w:eastAsia="仿宋_GB2312" w:hAnsi="黑体" w:hint="eastAsia"/>
          <w:b/>
          <w:bCs/>
          <w:sz w:val="32"/>
          <w:szCs w:val="32"/>
        </w:rPr>
        <w:t>上级补助收入：</w:t>
      </w:r>
      <w:r>
        <w:rPr>
          <w:rFonts w:ascii="仿宋_GB2312" w:eastAsia="仿宋_GB2312" w:hAnsi="黑体" w:hint="eastAsia"/>
          <w:bCs/>
          <w:sz w:val="32"/>
          <w:szCs w:val="32"/>
        </w:rPr>
        <w:t>指</w:t>
      </w:r>
      <w:r>
        <w:rPr>
          <w:rFonts w:ascii="仿宋_GB2312" w:eastAsia="仿宋_GB2312" w:hAnsi="仿宋" w:cs="Times New Roman" w:hint="eastAsia"/>
          <w:kern w:val="2"/>
          <w:sz w:val="32"/>
          <w:szCs w:val="32"/>
        </w:rPr>
        <w:t>事业单位从主管部门和上级单位取得的非财政补助收入。</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eastAsia="仿宋_GB2312" w:hAnsi="黑体" w:hint="eastAsia"/>
          <w:bCs/>
          <w:sz w:val="32"/>
          <w:szCs w:val="32"/>
        </w:rPr>
      </w:pPr>
      <w:r>
        <w:rPr>
          <w:rFonts w:ascii="仿宋_GB2312" w:eastAsia="仿宋_GB2312" w:hAnsi="黑体" w:hint="eastAsia"/>
          <w:b/>
          <w:bCs/>
          <w:sz w:val="32"/>
          <w:szCs w:val="32"/>
        </w:rPr>
        <w:t>四、附属单位上缴收入：</w:t>
      </w:r>
      <w:r>
        <w:rPr>
          <w:rFonts w:ascii="仿宋_GB2312" w:eastAsia="仿宋_GB2312" w:hAnsi="黑体" w:hint="eastAsia"/>
          <w:bCs/>
          <w:sz w:val="32"/>
          <w:szCs w:val="32"/>
        </w:rPr>
        <w:t>指事业单位附属独立核算单位按照有关规定上缴的收入。</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eastAsia="仿宋_GB2312" w:hAnsi="黑体" w:hint="eastAsia"/>
          <w:bCs/>
          <w:sz w:val="32"/>
          <w:szCs w:val="32"/>
        </w:rPr>
      </w:pPr>
      <w:r>
        <w:rPr>
          <w:rFonts w:ascii="仿宋_GB2312" w:eastAsia="仿宋_GB2312" w:hAnsi="黑体" w:hint="eastAsia"/>
          <w:b/>
          <w:bCs/>
          <w:sz w:val="32"/>
          <w:szCs w:val="32"/>
        </w:rPr>
        <w:t>五、经营收入</w:t>
      </w:r>
      <w:r>
        <w:rPr>
          <w:rFonts w:hint="eastAsia"/>
          <w:b/>
          <w:bCs/>
          <w:color w:val="383535"/>
        </w:rPr>
        <w:t>：</w:t>
      </w:r>
      <w:r>
        <w:rPr>
          <w:rFonts w:ascii="仿宋_GB2312" w:eastAsia="仿宋_GB2312" w:hAnsi="黑体" w:hint="eastAsia"/>
          <w:bCs/>
          <w:sz w:val="32"/>
          <w:szCs w:val="32"/>
        </w:rPr>
        <w:t>指事业单位在专业业务活动及其辅助活动之外开展非独立核算经营活动取得的收入。</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hAnsi="黑体" w:hint="eastAsia"/>
          <w:b/>
          <w:bCs/>
          <w:szCs w:val="32"/>
        </w:rPr>
      </w:pPr>
      <w:r>
        <w:rPr>
          <w:rFonts w:ascii="仿宋_GB2312" w:eastAsia="仿宋_GB2312" w:hAnsi="黑体" w:hint="eastAsia"/>
          <w:b/>
          <w:sz w:val="32"/>
          <w:szCs w:val="32"/>
        </w:rPr>
        <w:t>六、</w:t>
      </w:r>
      <w:r>
        <w:rPr>
          <w:rFonts w:ascii="仿宋_GB2312" w:eastAsia="仿宋_GB2312" w:hAnsi="黑体" w:hint="eastAsia"/>
          <w:b/>
          <w:bCs/>
          <w:sz w:val="32"/>
          <w:szCs w:val="32"/>
        </w:rPr>
        <w:t>其他收入：</w:t>
      </w:r>
      <w:r>
        <w:rPr>
          <w:rFonts w:ascii="仿宋_GB2312" w:eastAsia="仿宋_GB2312" w:hAnsi="黑体" w:hint="eastAsia"/>
          <w:bCs/>
          <w:sz w:val="32"/>
          <w:szCs w:val="32"/>
        </w:rPr>
        <w:t>指除财政拨款收入、事业收入、上级补助收入、附属单位上缴收入、经营收入以外的各项收入</w:t>
      </w:r>
      <w:r>
        <w:rPr>
          <w:rFonts w:ascii="仿宋_GB2312" w:eastAsia="仿宋_GB2312" w:hAnsi="黑体" w:hint="eastAsia"/>
          <w:bCs/>
          <w:color w:val="FF0000"/>
          <w:sz w:val="32"/>
          <w:szCs w:val="32"/>
        </w:rPr>
        <w:t>。</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eastAsia="仿宋_GB2312" w:hAnsi="黑体" w:hint="eastAsia"/>
          <w:bCs/>
          <w:sz w:val="32"/>
          <w:szCs w:val="32"/>
        </w:rPr>
      </w:pPr>
      <w:r>
        <w:rPr>
          <w:rFonts w:ascii="仿宋_GB2312" w:eastAsia="仿宋_GB2312" w:hAnsi="黑体" w:hint="eastAsia"/>
          <w:b/>
          <w:bCs/>
          <w:sz w:val="32"/>
          <w:szCs w:val="32"/>
        </w:rPr>
        <w:t>七、年初结转和结余：</w:t>
      </w:r>
      <w:r>
        <w:rPr>
          <w:rFonts w:ascii="仿宋_GB2312" w:eastAsia="仿宋_GB2312" w:hAnsi="黑体" w:hint="eastAsia"/>
          <w:bCs/>
          <w:sz w:val="32"/>
          <w:szCs w:val="32"/>
        </w:rPr>
        <w:t>指以前年度安排、结转到本年仍按原规定用途继续使用的资金。</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eastAsia="仿宋_GB2312" w:hAnsi="黑体" w:hint="eastAsia"/>
          <w:bCs/>
          <w:sz w:val="32"/>
          <w:szCs w:val="32"/>
        </w:rPr>
      </w:pPr>
      <w:r>
        <w:rPr>
          <w:rFonts w:ascii="仿宋_GB2312" w:eastAsia="仿宋_GB2312" w:hAnsi="黑体" w:hint="eastAsia"/>
          <w:b/>
          <w:bCs/>
          <w:sz w:val="32"/>
          <w:szCs w:val="32"/>
        </w:rPr>
        <w:t>八、结余分配：</w:t>
      </w:r>
      <w:r>
        <w:rPr>
          <w:rFonts w:ascii="仿宋_GB2312" w:eastAsia="仿宋_GB2312" w:hAnsi="黑体" w:hint="eastAsia"/>
          <w:bCs/>
          <w:sz w:val="32"/>
          <w:szCs w:val="32"/>
        </w:rPr>
        <w:t>指事业单位按照会计制度规定缴纳的所得税以及从非财政拨款结余中提取的职工福利基金、事业基金等。</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eastAsia="仿宋_GB2312" w:hAnsi="黑体" w:hint="eastAsia"/>
          <w:b/>
          <w:sz w:val="32"/>
          <w:szCs w:val="32"/>
        </w:rPr>
      </w:pPr>
      <w:r>
        <w:rPr>
          <w:rFonts w:ascii="仿宋_GB2312" w:eastAsia="仿宋_GB2312" w:hAnsi="黑体" w:hint="eastAsia"/>
          <w:b/>
          <w:bCs/>
          <w:sz w:val="32"/>
          <w:szCs w:val="32"/>
        </w:rPr>
        <w:t>九、年末结转和结余：</w:t>
      </w:r>
      <w:r>
        <w:rPr>
          <w:rFonts w:ascii="仿宋_GB2312" w:eastAsia="仿宋_GB2312" w:hAnsi="黑体" w:hint="eastAsia"/>
          <w:bCs/>
          <w:sz w:val="32"/>
          <w:szCs w:val="32"/>
        </w:rPr>
        <w:t>指单位本年度或以前年度预算安排、因客观条件发生变化未全部执行或未执行，结转到以后年度继续使用的资金，或项目已经完成等产生的结余资金。</w:t>
      </w:r>
    </w:p>
    <w:p>
      <w:pPr>
        <w:pStyle w:val="NormalWeb"/>
        <w:keepNext w:val="0"/>
        <w:keepLines w:val="0"/>
        <w:pageBreakBefore w:val="0"/>
        <w:kinsoku/>
        <w:wordWrap/>
        <w:overflowPunct/>
        <w:topLinePunct w:val="0"/>
        <w:autoSpaceDE/>
        <w:autoSpaceDN/>
        <w:bidi w:val="0"/>
        <w:adjustRightInd w:val="0"/>
        <w:snapToGrid w:val="0"/>
        <w:spacing w:before="0" w:beforeAutospacing="0" w:after="0" w:afterAutospacing="0" w:line="600" w:lineRule="exact"/>
        <w:ind w:right="0" w:firstLine="627" w:rightChars="0" w:firstLineChars="196"/>
        <w:textAlignment w:val="auto"/>
        <w:outlineLvl w:val="9"/>
        <w:rPr>
          <w:rFonts w:ascii="仿宋_GB2312" w:eastAsia="仿宋_GB2312" w:hAnsi="黑体" w:hint="eastAsia"/>
          <w:sz w:val="32"/>
          <w:szCs w:val="32"/>
        </w:rPr>
      </w:pPr>
      <w:r>
        <w:rPr>
          <w:rFonts w:ascii="仿宋_GB2312" w:eastAsia="仿宋_GB2312" w:hAnsi="黑体" w:hint="eastAsia"/>
          <w:b/>
          <w:sz w:val="32"/>
          <w:szCs w:val="32"/>
        </w:rPr>
        <w:t>十、基本支出：</w:t>
      </w:r>
      <w:r>
        <w:rPr>
          <w:rFonts w:ascii="仿宋_GB2312" w:eastAsia="仿宋_GB2312" w:hAnsi="黑体" w:hint="eastAsia"/>
          <w:sz w:val="32"/>
          <w:szCs w:val="32"/>
        </w:rPr>
        <w:t>指单位为保障其机构正常运转、完成日常工作任务而发生的人员支出和公用支出。</w:t>
      </w:r>
    </w:p>
    <w:p>
      <w:pPr>
        <w:pStyle w:val="NormalWeb"/>
        <w:keepNext w:val="0"/>
        <w:keepLines w:val="0"/>
        <w:pageBreakBefore w:val="0"/>
        <w:kinsoku/>
        <w:wordWrap/>
        <w:overflowPunct/>
        <w:topLinePunct w:val="0"/>
        <w:autoSpaceDE/>
        <w:autoSpaceDN/>
        <w:bidi w:val="0"/>
        <w:spacing w:before="0" w:beforeAutospacing="0" w:after="0" w:afterAutospacing="0" w:line="600" w:lineRule="exact"/>
        <w:ind w:right="0" w:firstLine="627" w:rightChars="0" w:firstLineChars="196"/>
        <w:jc w:val="both"/>
        <w:textAlignment w:val="auto"/>
        <w:outlineLvl w:val="9"/>
        <w:rPr>
          <w:rFonts w:ascii="仿宋_GB2312" w:eastAsia="仿宋_GB2312" w:hAnsi="黑体" w:hint="eastAsia"/>
          <w:sz w:val="32"/>
          <w:szCs w:val="32"/>
        </w:rPr>
      </w:pPr>
      <w:r>
        <w:rPr>
          <w:rFonts w:ascii="仿宋_GB2312" w:eastAsia="仿宋_GB2312" w:hAnsi="黑体" w:hint="eastAsia"/>
          <w:b/>
          <w:sz w:val="32"/>
          <w:szCs w:val="32"/>
        </w:rPr>
        <w:t>十一、项目支出：</w:t>
      </w:r>
      <w:r>
        <w:rPr>
          <w:rFonts w:ascii="仿宋_GB2312" w:eastAsia="仿宋_GB2312" w:hAnsi="黑体" w:hint="eastAsia"/>
          <w:sz w:val="32"/>
          <w:szCs w:val="32"/>
        </w:rPr>
        <w:t>指单位为完成特定行政任务和事业发展目标在基本支出之外所发生的支出。</w:t>
      </w:r>
      <w:r>
        <w:rPr>
          <w:rFonts w:ascii="仿宋_GB2312" w:eastAsia="仿宋_GB2312" w:hAnsi="黑体" w:hint="eastAsia"/>
          <w:sz w:val="32"/>
          <w:szCs w:val="32"/>
        </w:rPr>
        <w:br/>
      </w:r>
      <w:r>
        <w:rPr>
          <w:rFonts w:ascii="仿宋_GB2312" w:eastAsia="仿宋_GB2312" w:hAnsi="黑体" w:hint="eastAsia"/>
          <w:sz w:val="32"/>
          <w:szCs w:val="32"/>
        </w:rPr>
        <w:t xml:space="preserve">    </w:t>
      </w:r>
      <w:r>
        <w:rPr>
          <w:rFonts w:ascii="仿宋_GB2312" w:eastAsia="仿宋_GB2312" w:hAnsi="黑体" w:hint="eastAsia"/>
          <w:b/>
          <w:sz w:val="32"/>
          <w:szCs w:val="32"/>
        </w:rPr>
        <w:t>十二、经营支出：</w:t>
      </w:r>
      <w:r>
        <w:rPr>
          <w:rFonts w:ascii="仿宋_GB2312" w:eastAsia="仿宋_GB2312" w:hAnsi="黑体" w:hint="eastAsia"/>
          <w:sz w:val="32"/>
          <w:szCs w:val="32"/>
        </w:rPr>
        <w:t>指事业单位在专业业务活动及其辅助活动之外开展非独立核算经营活动发生的支出。</w:t>
      </w:r>
    </w:p>
    <w:p>
      <w:pPr>
        <w:pStyle w:val="NormalWeb"/>
        <w:keepNext w:val="0"/>
        <w:keepLines w:val="0"/>
        <w:pageBreakBefore w:val="0"/>
        <w:kinsoku/>
        <w:wordWrap/>
        <w:overflowPunct/>
        <w:topLinePunct w:val="0"/>
        <w:autoSpaceDE/>
        <w:autoSpaceDN/>
        <w:bidi w:val="0"/>
        <w:spacing w:before="0" w:beforeAutospacing="0" w:after="0" w:afterAutospacing="0" w:line="600" w:lineRule="exact"/>
        <w:ind w:right="0" w:firstLine="627" w:rightChars="0" w:firstLineChars="196"/>
        <w:jc w:val="both"/>
        <w:textAlignment w:val="auto"/>
        <w:outlineLvl w:val="9"/>
        <w:rPr>
          <w:rFonts w:ascii="仿宋_GB2312" w:eastAsia="仿宋_GB2312" w:hAnsi="黑体" w:hint="eastAsia"/>
          <w:b/>
          <w:sz w:val="32"/>
          <w:szCs w:val="32"/>
        </w:rPr>
      </w:pPr>
      <w:r>
        <w:rPr>
          <w:rFonts w:ascii="仿宋_GB2312" w:eastAsia="仿宋_GB2312" w:hAnsi="黑体" w:hint="eastAsia"/>
          <w:b/>
          <w:sz w:val="32"/>
          <w:szCs w:val="32"/>
        </w:rPr>
        <w:t>十三、“三公”经费：</w:t>
      </w:r>
      <w:r>
        <w:rPr>
          <w:rFonts w:ascii="仿宋_GB2312" w:eastAsia="仿宋_GB2312" w:hAnsi="黑体"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Pr>
          <w:rFonts w:ascii="仿宋_GB2312" w:eastAsia="仿宋_GB2312" w:hAnsi="黑体"/>
          <w:sz w:val="32"/>
          <w:szCs w:val="32"/>
        </w:rPr>
        <w:t>）</w:t>
      </w:r>
      <w:r>
        <w:rPr>
          <w:rFonts w:ascii="仿宋_GB2312" w:eastAsia="仿宋_GB2312" w:hAnsi="黑体" w:hint="eastAsia"/>
          <w:sz w:val="32"/>
          <w:szCs w:val="32"/>
        </w:rPr>
        <w:t>支出。</w:t>
      </w:r>
    </w:p>
    <w:p>
      <w:pPr>
        <w:pStyle w:val="NormalWeb"/>
        <w:keepNext w:val="0"/>
        <w:keepLines w:val="0"/>
        <w:pageBreakBefore w:val="0"/>
        <w:kinsoku/>
        <w:wordWrap/>
        <w:overflowPunct/>
        <w:topLinePunct w:val="0"/>
        <w:autoSpaceDE/>
        <w:autoSpaceDN/>
        <w:bidi w:val="0"/>
        <w:spacing w:before="0" w:beforeAutospacing="0" w:after="0" w:afterAutospacing="0" w:line="600" w:lineRule="exact"/>
        <w:ind w:right="0" w:firstLine="627" w:rightChars="0" w:firstLineChars="196"/>
        <w:jc w:val="both"/>
        <w:textAlignment w:val="auto"/>
        <w:outlineLvl w:val="9"/>
        <w:rPr>
          <w:rFonts w:ascii="仿宋_GB2312" w:eastAsia="仿宋_GB2312" w:hAnsi="黑体" w:hint="eastAsia"/>
          <w:b/>
          <w:sz w:val="32"/>
          <w:szCs w:val="32"/>
        </w:rPr>
      </w:pPr>
      <w:r>
        <w:rPr>
          <w:rFonts w:ascii="仿宋_GB2312" w:eastAsia="仿宋_GB2312" w:hAnsi="黑体" w:hint="eastAsia"/>
          <w:b/>
          <w:sz w:val="32"/>
          <w:szCs w:val="32"/>
        </w:rPr>
        <w:t>十四、机关运行经费</w:t>
      </w:r>
      <w:r>
        <w:rPr>
          <w:rFonts w:ascii="仿宋_GB2312" w:eastAsia="仿宋_GB2312" w:hAnsi="黑体" w:hint="eastAsia"/>
          <w:sz w:val="32"/>
          <w:szCs w:val="32"/>
        </w:rPr>
        <w:t>：</w:t>
      </w:r>
      <w:r>
        <w:rPr>
          <w:rFonts w:ascii="仿宋_GB2312" w:eastAsia="仿宋_GB2312" w:hint="eastAsia"/>
          <w:sz w:val="32"/>
          <w:szCs w:val="32"/>
        </w:rPr>
        <w:t>指为保障行政单位（含参照公务员法管理的事业单位）运行用于购买货物和服务的各项资金</w:t>
      </w:r>
      <w:r>
        <w:rPr>
          <w:rFonts w:ascii="仿宋_GB2312" w:eastAsia="仿宋_GB2312" w:hAnsi="Times New Roman" w:hint="eastAsia"/>
          <w:kern w:val="2"/>
          <w:sz w:val="32"/>
          <w:szCs w:val="32"/>
        </w:rPr>
        <w:t>，包括办公及印刷费、邮电费、差旅费、会议费、福利费、日常维修费、专用材料费及一般设备购置费、办公用房水电费、办公用房取暖费、办公用房物业管理费、公务用车运行维护费以及其他费用。</w:t>
      </w:r>
    </w:p>
    <w:p>
      <w:pPr>
        <w:pStyle w:val="NormalWeb"/>
        <w:spacing w:before="0" w:beforeAutospacing="0" w:after="0" w:afterAutospacing="0" w:line="600" w:lineRule="exact"/>
        <w:jc w:val="center"/>
        <w:rPr>
          <w:rFonts w:ascii="楷体_GB2312" w:eastAsia="楷体_GB2312" w:hAnsi="Times New Roman" w:hint="eastAsia"/>
          <w:kern w:val="2"/>
          <w:sz w:val="32"/>
          <w:szCs w:val="32"/>
        </w:rPr>
      </w:pPr>
      <w:r>
        <w:rPr>
          <w:rFonts w:ascii="楷体_GB2312" w:eastAsia="楷体_GB2312" w:hAnsi="Times New Roman" w:hint="eastAsia"/>
          <w:kern w:val="2"/>
          <w:sz w:val="32"/>
          <w:szCs w:val="32"/>
        </w:rPr>
        <w:t>（可根据本部门预算实际情况增加或减少相关名词解释）</w:t>
      </w:r>
    </w:p>
    <w:p>
      <w:pPr>
        <w:jc w:val="both"/>
        <w:rPr>
          <w:rFonts w:ascii="宋体" w:hAnsi="宋体" w:hint="eastAsia"/>
          <w:b/>
          <w:sz w:val="36"/>
          <w:szCs w:val="36"/>
        </w:rPr>
      </w:pPr>
    </w:p>
    <w:p>
      <w:pPr>
        <w:jc w:val="both"/>
        <w:rPr>
          <w:rFonts w:ascii="宋体" w:hAnsi="宋体" w:hint="eastAsia"/>
          <w:b/>
          <w:sz w:val="36"/>
          <w:szCs w:val="36"/>
        </w:rPr>
      </w:pPr>
    </w:p>
    <w:p>
      <w:pPr>
        <w:jc w:val="center"/>
        <w:rPr>
          <w:rFonts w:ascii="宋体" w:eastAsia="仿宋_GB2312" w:hAnsi="宋体" w:hint="eastAsia"/>
          <w:b/>
          <w:sz w:val="36"/>
          <w:szCs w:val="36"/>
        </w:rPr>
      </w:pPr>
      <w:r>
        <w:rPr>
          <w:rFonts w:ascii="宋体" w:eastAsia="仿宋_GB2312" w:hAnsi="宋体" w:hint="eastAsia"/>
          <w:b/>
          <w:sz w:val="36"/>
          <w:szCs w:val="36"/>
          <w:lang w:val="en-US" w:eastAsia="zh-CN"/>
        </w:rPr>
        <w:t>寿县</w:t>
      </w:r>
      <w:r>
        <w:rPr>
          <w:rFonts w:ascii="宋体" w:eastAsia="仿宋_GB2312" w:hAnsi="宋体" w:hint="eastAsia"/>
          <w:b/>
          <w:sz w:val="36"/>
          <w:szCs w:val="36"/>
          <w:lang w:eastAsia="zh-CN"/>
        </w:rPr>
        <w:t>档案馆</w:t>
      </w:r>
      <w:r>
        <w:rPr>
          <w:rFonts w:ascii="宋体" w:eastAsia="仿宋_GB2312" w:hAnsi="宋体"/>
          <w:b/>
          <w:sz w:val="36"/>
          <w:szCs w:val="36"/>
        </w:rPr>
        <w:t>2020年</w:t>
      </w:r>
      <w:r>
        <w:rPr>
          <w:rFonts w:ascii="宋体" w:eastAsia="仿宋_GB2312" w:hAnsi="宋体" w:hint="eastAsia"/>
          <w:b/>
          <w:sz w:val="36"/>
          <w:szCs w:val="36"/>
        </w:rPr>
        <w:t>度一般公共预算财政</w:t>
      </w:r>
    </w:p>
    <w:p>
      <w:pPr>
        <w:jc w:val="center"/>
        <w:rPr>
          <w:rFonts w:ascii="宋体" w:eastAsia="仿宋_GB2312" w:hAnsi="宋体" w:hint="eastAsia"/>
          <w:b/>
          <w:sz w:val="36"/>
          <w:szCs w:val="36"/>
        </w:rPr>
      </w:pPr>
      <w:r>
        <w:rPr>
          <w:rFonts w:ascii="宋体" w:eastAsia="仿宋_GB2312" w:hAnsi="宋体" w:hint="eastAsia"/>
          <w:b/>
          <w:sz w:val="36"/>
          <w:szCs w:val="36"/>
        </w:rPr>
        <w:t>拨款</w:t>
      </w:r>
      <w:r>
        <w:rPr>
          <w:rFonts w:ascii="宋体" w:eastAsia="仿宋_GB2312" w:hAnsi="宋体"/>
          <w:b/>
          <w:sz w:val="36"/>
          <w:szCs w:val="36"/>
        </w:rPr>
        <w:t>“三公</w:t>
      </w:r>
      <w:r>
        <w:rPr>
          <w:rFonts w:ascii="宋体" w:eastAsia="仿宋_GB2312" w:hAnsi="宋体" w:hint="eastAsia"/>
          <w:b/>
          <w:sz w:val="36"/>
          <w:szCs w:val="36"/>
        </w:rPr>
        <w:t>”</w:t>
      </w:r>
      <w:r>
        <w:rPr>
          <w:rFonts w:ascii="宋体" w:eastAsia="仿宋_GB2312" w:hAnsi="宋体"/>
          <w:b/>
          <w:sz w:val="36"/>
          <w:szCs w:val="36"/>
        </w:rPr>
        <w:t>经费</w:t>
      </w:r>
      <w:r>
        <w:rPr>
          <w:rFonts w:ascii="宋体" w:eastAsia="仿宋_GB2312" w:hAnsi="宋体" w:hint="eastAsia"/>
          <w:b/>
          <w:sz w:val="36"/>
          <w:szCs w:val="36"/>
        </w:rPr>
        <w:t>支出决算情况说明</w:t>
      </w:r>
    </w:p>
    <w:p>
      <w:pPr>
        <w:jc w:val="center"/>
        <w:rPr>
          <w:rFonts w:ascii="楷体_GB2312" w:eastAsia="楷体_GB2312" w:hint="eastAsia"/>
          <w:sz w:val="32"/>
          <w:szCs w:val="32"/>
        </w:rPr>
      </w:pPr>
    </w:p>
    <w:p>
      <w:pPr>
        <w:adjustRightInd w:val="0"/>
        <w:snapToGrid w:val="0"/>
        <w:spacing w:line="360" w:lineRule="auto"/>
        <w:jc w:val="center"/>
        <w:rPr>
          <w:rFonts w:ascii="宋体" w:eastAsia="仿宋_GB2312" w:hAnsi="宋体" w:hint="eastAsia"/>
          <w:sz w:val="6"/>
          <w:szCs w:val="32"/>
        </w:rPr>
      </w:pPr>
    </w:p>
    <w:p>
      <w:pPr>
        <w:rPr>
          <w:rFonts w:ascii="黑体" w:eastAsia="黑体" w:hAnsi="黑体" w:hint="eastAsia"/>
          <w:sz w:val="32"/>
          <w:szCs w:val="32"/>
        </w:rPr>
      </w:pPr>
      <w:r>
        <w:rPr>
          <w:rFonts w:ascii="黑体" w:eastAsia="黑体" w:hAnsi="黑体"/>
          <w:sz w:val="32"/>
          <w:szCs w:val="32"/>
        </w:rPr>
        <w:t xml:space="preserve">    </w:t>
      </w:r>
      <w:r>
        <w:rPr>
          <w:rFonts w:ascii="黑体" w:eastAsia="黑体" w:hAnsi="黑体" w:hint="eastAsia"/>
          <w:sz w:val="32"/>
          <w:szCs w:val="32"/>
        </w:rPr>
        <w:t>一、2020年度一般公共预算财政拨款“三公”经费支出决算表</w:t>
      </w:r>
    </w:p>
    <w:p>
      <w:pPr>
        <w:ind w:firstLine="7354" w:firstLineChars="2298"/>
        <w:rPr>
          <w:rFonts w:ascii="黑体" w:eastAsia="黑体" w:hAnsi="黑体" w:hint="eastAsia"/>
          <w:sz w:val="32"/>
          <w:szCs w:val="32"/>
        </w:rPr>
      </w:pPr>
      <w:r>
        <w:rPr>
          <w:rFonts w:ascii="仿宋_GB2312" w:eastAsia="仿宋_GB2312" w:hAnsi="仿宋_GB2312" w:cs="仿宋_GB2312" w:hint="eastAsia"/>
          <w:sz w:val="32"/>
          <w:szCs w:val="32"/>
        </w:rPr>
        <w:t>单位：万元</w:t>
      </w:r>
    </w:p>
    <w:tbl>
      <w:tblPr>
        <w:tblStyle w:val="TableNormal"/>
        <w:tblpPr w:leftFromText="180" w:rightFromText="180" w:vertAnchor="text" w:horzAnchor="margin" w:tblpY="454"/>
        <w:tblOverlap w:val="never"/>
        <w:tblW w:w="0" w:type="auto"/>
        <w:tblInd w:w="0" w:type="dxa"/>
        <w:tblLayout w:type="fixed"/>
        <w:tblCellMar>
          <w:top w:w="0" w:type="dxa"/>
          <w:left w:w="108" w:type="dxa"/>
          <w:bottom w:w="0" w:type="dxa"/>
          <w:right w:w="108" w:type="dxa"/>
        </w:tblCellMar>
      </w:tblPr>
      <w:tblGrid>
        <w:gridCol w:w="4379"/>
        <w:gridCol w:w="2157"/>
        <w:gridCol w:w="2220"/>
      </w:tblGrid>
      <w:tr>
        <w:tblPrEx>
          <w:tblW w:w="0" w:type="auto"/>
          <w:tblInd w:w="0" w:type="dxa"/>
          <w:tblLayout w:type="fixed"/>
        </w:tblPrEx>
        <w:trPr>
          <w:trHeight w:val="397"/>
        </w:trPr>
        <w:tc>
          <w:tcPr>
            <w:tcW w:w="4379" w:type="dxa"/>
            <w:tcBorders>
              <w:top w:val="single" w:sz="4" w:space="0" w:color="auto"/>
              <w:left w:val="single" w:sz="4" w:space="0" w:color="auto"/>
              <w:bottom w:val="single" w:sz="4" w:space="0" w:color="auto"/>
              <w:right w:val="single" w:sz="4" w:space="0" w:color="auto"/>
            </w:tcBorders>
            <w:noWrap w:val="0"/>
            <w:vAlign w:val="center"/>
          </w:tcPr>
          <w:p>
            <w:pPr>
              <w:widowControl/>
              <w:jc w:val="center"/>
              <w:rPr>
                <w:rFonts w:ascii="宋体" w:eastAsia="仿宋_GB2312" w:hAnsi="宋体" w:cs="宋体"/>
                <w:b/>
                <w:bCs/>
                <w:kern w:val="0"/>
                <w:sz w:val="32"/>
                <w:szCs w:val="21"/>
              </w:rPr>
            </w:pPr>
            <w:r>
              <w:rPr>
                <w:rFonts w:ascii="宋体" w:eastAsia="仿宋_GB2312" w:hAnsi="宋体" w:cs="宋体" w:hint="eastAsia"/>
                <w:b/>
                <w:bCs/>
                <w:kern w:val="0"/>
                <w:sz w:val="32"/>
                <w:szCs w:val="21"/>
              </w:rPr>
              <w:t>项  目</w:t>
            </w:r>
          </w:p>
        </w:tc>
        <w:tc>
          <w:tcPr>
            <w:tcW w:w="2157" w:type="dxa"/>
            <w:tcBorders>
              <w:top w:val="single" w:sz="4" w:space="0" w:color="auto"/>
              <w:left w:val="nil"/>
              <w:bottom w:val="single" w:sz="4" w:space="0" w:color="auto"/>
              <w:right w:val="single" w:sz="4" w:space="0" w:color="auto"/>
            </w:tcBorders>
            <w:noWrap w:val="0"/>
            <w:vAlign w:val="center"/>
          </w:tcPr>
          <w:p>
            <w:pPr>
              <w:widowControl/>
              <w:jc w:val="center"/>
              <w:rPr>
                <w:rFonts w:ascii="宋体" w:eastAsia="仿宋_GB2312" w:hAnsi="宋体" w:cs="宋体"/>
                <w:b/>
                <w:bCs/>
                <w:kern w:val="0"/>
                <w:sz w:val="32"/>
                <w:szCs w:val="21"/>
              </w:rPr>
            </w:pPr>
            <w:r>
              <w:rPr>
                <w:rFonts w:ascii="宋体" w:eastAsia="仿宋_GB2312" w:hAnsi="宋体" w:cs="宋体" w:hint="eastAsia"/>
                <w:b/>
                <w:bCs/>
                <w:kern w:val="0"/>
                <w:sz w:val="32"/>
                <w:szCs w:val="21"/>
              </w:rPr>
              <w:t>预 算 数</w:t>
            </w:r>
          </w:p>
        </w:tc>
        <w:tc>
          <w:tcPr>
            <w:tcW w:w="2220" w:type="dxa"/>
            <w:tcBorders>
              <w:top w:val="single" w:sz="4" w:space="0" w:color="auto"/>
              <w:left w:val="nil"/>
              <w:bottom w:val="single" w:sz="4" w:space="0" w:color="auto"/>
              <w:right w:val="single" w:sz="4" w:space="0" w:color="auto"/>
            </w:tcBorders>
            <w:noWrap w:val="0"/>
            <w:vAlign w:val="center"/>
          </w:tcPr>
          <w:p>
            <w:pPr>
              <w:widowControl/>
              <w:jc w:val="center"/>
              <w:rPr>
                <w:rFonts w:ascii="宋体" w:eastAsia="仿宋_GB2312" w:hAnsi="宋体" w:cs="宋体"/>
                <w:b/>
                <w:bCs/>
                <w:kern w:val="0"/>
                <w:sz w:val="32"/>
                <w:szCs w:val="21"/>
              </w:rPr>
            </w:pPr>
            <w:r>
              <w:rPr>
                <w:rFonts w:ascii="宋体" w:eastAsia="仿宋_GB2312" w:hAnsi="宋体" w:cs="宋体" w:hint="eastAsia"/>
                <w:b/>
                <w:bCs/>
                <w:kern w:val="0"/>
                <w:sz w:val="32"/>
                <w:szCs w:val="21"/>
              </w:rPr>
              <w:t>决 算 数</w:t>
            </w:r>
          </w:p>
        </w:tc>
      </w:tr>
      <w:tr>
        <w:tblPrEx>
          <w:tblW w:w="0" w:type="auto"/>
          <w:tblInd w:w="0" w:type="dxa"/>
          <w:tblLayout w:type="fixed"/>
        </w:tblPrEx>
        <w:trPr>
          <w:trHeight w:val="397"/>
        </w:trPr>
        <w:tc>
          <w:tcPr>
            <w:tcW w:w="4379" w:type="dxa"/>
            <w:tcBorders>
              <w:top w:val="nil"/>
              <w:left w:val="single" w:sz="4" w:space="0" w:color="auto"/>
              <w:bottom w:val="single" w:sz="4" w:space="0" w:color="auto"/>
              <w:right w:val="single" w:sz="4" w:space="0" w:color="auto"/>
            </w:tcBorders>
            <w:noWrap w:val="0"/>
            <w:vAlign w:val="center"/>
          </w:tcPr>
          <w:p>
            <w:pPr>
              <w:widowControl/>
              <w:jc w:val="center"/>
              <w:rPr>
                <w:rFonts w:ascii="宋体" w:eastAsia="仿宋_GB2312" w:hAnsi="宋体" w:cs="宋体"/>
                <w:b/>
                <w:bCs/>
                <w:kern w:val="0"/>
                <w:sz w:val="32"/>
                <w:szCs w:val="21"/>
              </w:rPr>
            </w:pPr>
            <w:r>
              <w:rPr>
                <w:rFonts w:ascii="宋体" w:eastAsia="仿宋_GB2312" w:hAnsi="宋体" w:cs="宋体" w:hint="eastAsia"/>
                <w:b/>
                <w:bCs/>
                <w:kern w:val="0"/>
                <w:sz w:val="32"/>
                <w:szCs w:val="21"/>
              </w:rPr>
              <w:t>合  计</w:t>
            </w:r>
          </w:p>
        </w:tc>
        <w:tc>
          <w:tcPr>
            <w:tcW w:w="2157"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b/>
                <w:bCs/>
                <w:kern w:val="0"/>
                <w:sz w:val="32"/>
                <w:szCs w:val="21"/>
              </w:rPr>
            </w:pPr>
            <w:r>
              <w:rPr>
                <w:rFonts w:ascii="宋体" w:hAnsi="宋体" w:cs="宋体" w:hint="eastAsia"/>
                <w:i w:val="0"/>
                <w:iCs w:val="0"/>
                <w:color w:val="000000"/>
                <w:kern w:val="0"/>
                <w:sz w:val="20"/>
                <w:szCs w:val="20"/>
                <w:u w:val="none"/>
                <w:lang w:val="en-US" w:eastAsia="zh-CN" w:bidi="ar"/>
              </w:rPr>
              <w:t>2</w:t>
            </w:r>
            <w:r>
              <w:rPr>
                <w:rFonts w:ascii="宋体" w:eastAsia="宋体" w:hAnsi="宋体" w:cs="宋体" w:hint="eastAsia"/>
                <w:i w:val="0"/>
                <w:iCs w:val="0"/>
                <w:color w:val="000000"/>
                <w:kern w:val="0"/>
                <w:sz w:val="20"/>
                <w:szCs w:val="20"/>
                <w:u w:val="none"/>
                <w:lang w:val="en-US" w:eastAsia="zh-CN" w:bidi="ar"/>
              </w:rPr>
              <w:t>.00</w:t>
            </w:r>
          </w:p>
        </w:tc>
        <w:tc>
          <w:tcPr>
            <w:tcW w:w="2220"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hint="default"/>
                <w:b/>
                <w:bCs/>
                <w:kern w:val="0"/>
                <w:sz w:val="32"/>
                <w:szCs w:val="21"/>
                <w:lang w:val="en-US"/>
              </w:rPr>
            </w:pPr>
            <w:r>
              <w:rPr>
                <w:rFonts w:ascii="宋体" w:hAnsi="宋体" w:cs="宋体" w:hint="eastAsia"/>
                <w:i w:val="0"/>
                <w:iCs w:val="0"/>
                <w:color w:val="000000"/>
                <w:kern w:val="0"/>
                <w:sz w:val="20"/>
                <w:szCs w:val="20"/>
                <w:u w:val="none"/>
                <w:lang w:val="en-US" w:eastAsia="zh-CN" w:bidi="ar"/>
              </w:rPr>
              <w:t>1.86</w:t>
            </w:r>
          </w:p>
        </w:tc>
      </w:tr>
      <w:tr>
        <w:tblPrEx>
          <w:tblW w:w="0" w:type="auto"/>
          <w:tblInd w:w="0" w:type="dxa"/>
          <w:tblLayout w:type="fixed"/>
        </w:tblPrEx>
        <w:trPr>
          <w:trHeight w:val="397"/>
        </w:trPr>
        <w:tc>
          <w:tcPr>
            <w:tcW w:w="4379" w:type="dxa"/>
            <w:tcBorders>
              <w:top w:val="nil"/>
              <w:left w:val="single" w:sz="4" w:space="0" w:color="auto"/>
              <w:bottom w:val="single" w:sz="4" w:space="0" w:color="auto"/>
              <w:right w:val="single" w:sz="4" w:space="0" w:color="auto"/>
            </w:tcBorders>
            <w:noWrap w:val="0"/>
            <w:vAlign w:val="center"/>
          </w:tcPr>
          <w:p>
            <w:pPr>
              <w:widowControl/>
              <w:jc w:val="left"/>
              <w:rPr>
                <w:rFonts w:ascii="宋体" w:eastAsia="仿宋_GB2312" w:hAnsi="宋体" w:cs="宋体"/>
                <w:kern w:val="0"/>
                <w:sz w:val="32"/>
                <w:szCs w:val="21"/>
              </w:rPr>
            </w:pPr>
            <w:r>
              <w:rPr>
                <w:rFonts w:ascii="宋体" w:eastAsia="仿宋_GB2312" w:hAnsi="宋体" w:cs="宋体" w:hint="eastAsia"/>
                <w:kern w:val="0"/>
                <w:sz w:val="32"/>
                <w:szCs w:val="21"/>
              </w:rPr>
              <w:t>因公出国（境）费</w:t>
            </w:r>
          </w:p>
        </w:tc>
        <w:tc>
          <w:tcPr>
            <w:tcW w:w="2157"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c>
          <w:tcPr>
            <w:tcW w:w="2220"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r>
      <w:tr>
        <w:tblPrEx>
          <w:tblW w:w="0" w:type="auto"/>
          <w:tblInd w:w="0" w:type="dxa"/>
          <w:tblLayout w:type="fixed"/>
        </w:tblPrEx>
        <w:trPr>
          <w:trHeight w:val="397"/>
        </w:trPr>
        <w:tc>
          <w:tcPr>
            <w:tcW w:w="4379" w:type="dxa"/>
            <w:tcBorders>
              <w:top w:val="nil"/>
              <w:left w:val="single" w:sz="4" w:space="0" w:color="auto"/>
              <w:bottom w:val="single" w:sz="4" w:space="0" w:color="auto"/>
              <w:right w:val="single" w:sz="4" w:space="0" w:color="auto"/>
            </w:tcBorders>
            <w:noWrap w:val="0"/>
            <w:vAlign w:val="center"/>
          </w:tcPr>
          <w:p>
            <w:pPr>
              <w:widowControl/>
              <w:jc w:val="left"/>
              <w:rPr>
                <w:rFonts w:ascii="宋体" w:eastAsia="仿宋_GB2312" w:hAnsi="宋体" w:cs="宋体"/>
                <w:kern w:val="0"/>
                <w:sz w:val="32"/>
                <w:szCs w:val="21"/>
              </w:rPr>
            </w:pPr>
            <w:r>
              <w:rPr>
                <w:rFonts w:ascii="宋体" w:eastAsia="仿宋_GB2312" w:hAnsi="宋体" w:cs="宋体" w:hint="eastAsia"/>
                <w:kern w:val="0"/>
                <w:sz w:val="32"/>
                <w:szCs w:val="21"/>
              </w:rPr>
              <w:t>公务接待费</w:t>
            </w:r>
          </w:p>
        </w:tc>
        <w:tc>
          <w:tcPr>
            <w:tcW w:w="2157"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2.00</w:t>
            </w:r>
          </w:p>
        </w:tc>
        <w:tc>
          <w:tcPr>
            <w:tcW w:w="2220"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1.86</w:t>
            </w:r>
          </w:p>
        </w:tc>
      </w:tr>
      <w:tr>
        <w:tblPrEx>
          <w:tblW w:w="0" w:type="auto"/>
          <w:tblInd w:w="0" w:type="dxa"/>
          <w:tblLayout w:type="fixed"/>
        </w:tblPrEx>
        <w:trPr>
          <w:trHeight w:val="397"/>
        </w:trPr>
        <w:tc>
          <w:tcPr>
            <w:tcW w:w="4379" w:type="dxa"/>
            <w:tcBorders>
              <w:top w:val="nil"/>
              <w:left w:val="single" w:sz="4" w:space="0" w:color="auto"/>
              <w:bottom w:val="single" w:sz="4" w:space="0" w:color="auto"/>
              <w:right w:val="single" w:sz="4" w:space="0" w:color="auto"/>
            </w:tcBorders>
            <w:noWrap w:val="0"/>
            <w:vAlign w:val="center"/>
          </w:tcPr>
          <w:p>
            <w:pPr>
              <w:widowControl/>
              <w:jc w:val="left"/>
              <w:rPr>
                <w:rFonts w:ascii="宋体" w:eastAsia="仿宋_GB2312" w:hAnsi="宋体" w:cs="宋体"/>
                <w:kern w:val="0"/>
                <w:sz w:val="32"/>
                <w:szCs w:val="21"/>
              </w:rPr>
            </w:pPr>
            <w:r>
              <w:rPr>
                <w:rFonts w:ascii="宋体" w:eastAsia="仿宋_GB2312" w:hAnsi="宋体" w:cs="宋体" w:hint="eastAsia"/>
                <w:kern w:val="0"/>
                <w:sz w:val="32"/>
                <w:szCs w:val="21"/>
              </w:rPr>
              <w:t>公务用车购置及运行维护费</w:t>
            </w:r>
          </w:p>
        </w:tc>
        <w:tc>
          <w:tcPr>
            <w:tcW w:w="2157"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c>
          <w:tcPr>
            <w:tcW w:w="2220"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r>
      <w:tr>
        <w:tblPrEx>
          <w:tblW w:w="0" w:type="auto"/>
          <w:tblInd w:w="0" w:type="dxa"/>
          <w:tblLayout w:type="fixed"/>
        </w:tblPrEx>
        <w:trPr>
          <w:trHeight w:val="397"/>
        </w:trPr>
        <w:tc>
          <w:tcPr>
            <w:tcW w:w="4379" w:type="dxa"/>
            <w:tcBorders>
              <w:top w:val="nil"/>
              <w:left w:val="single" w:sz="4" w:space="0" w:color="auto"/>
              <w:bottom w:val="single" w:sz="4" w:space="0" w:color="auto"/>
              <w:right w:val="single" w:sz="4" w:space="0" w:color="auto"/>
            </w:tcBorders>
            <w:noWrap w:val="0"/>
            <w:vAlign w:val="center"/>
          </w:tcPr>
          <w:p>
            <w:pPr>
              <w:widowControl/>
              <w:jc w:val="left"/>
              <w:rPr>
                <w:rFonts w:ascii="宋体" w:eastAsia="仿宋_GB2312" w:hAnsi="宋体" w:cs="宋体"/>
                <w:kern w:val="0"/>
                <w:sz w:val="32"/>
                <w:szCs w:val="21"/>
              </w:rPr>
            </w:pPr>
            <w:r>
              <w:rPr>
                <w:rFonts w:ascii="宋体" w:eastAsia="仿宋_GB2312" w:hAnsi="宋体" w:cs="宋体" w:hint="eastAsia"/>
                <w:kern w:val="0"/>
                <w:sz w:val="32"/>
                <w:szCs w:val="21"/>
              </w:rPr>
              <w:t xml:space="preserve">  其中：公务用车运行维护费</w:t>
            </w:r>
          </w:p>
        </w:tc>
        <w:tc>
          <w:tcPr>
            <w:tcW w:w="2157"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c>
          <w:tcPr>
            <w:tcW w:w="2220"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r>
      <w:tr>
        <w:tblPrEx>
          <w:tblW w:w="0" w:type="auto"/>
          <w:tblInd w:w="0" w:type="dxa"/>
          <w:tblLayout w:type="fixed"/>
        </w:tblPrEx>
        <w:trPr>
          <w:trHeight w:val="397"/>
        </w:trPr>
        <w:tc>
          <w:tcPr>
            <w:tcW w:w="4379" w:type="dxa"/>
            <w:tcBorders>
              <w:top w:val="nil"/>
              <w:left w:val="single" w:sz="4" w:space="0" w:color="auto"/>
              <w:bottom w:val="single" w:sz="4" w:space="0" w:color="auto"/>
              <w:right w:val="single" w:sz="4" w:space="0" w:color="auto"/>
            </w:tcBorders>
            <w:noWrap w:val="0"/>
            <w:vAlign w:val="center"/>
          </w:tcPr>
          <w:p>
            <w:pPr>
              <w:widowControl/>
              <w:jc w:val="left"/>
              <w:rPr>
                <w:rFonts w:ascii="宋体" w:eastAsia="仿宋_GB2312" w:hAnsi="宋体" w:cs="宋体"/>
                <w:kern w:val="0"/>
                <w:sz w:val="32"/>
                <w:szCs w:val="21"/>
              </w:rPr>
            </w:pPr>
            <w:r>
              <w:rPr>
                <w:rFonts w:ascii="宋体" w:eastAsia="仿宋_GB2312" w:hAnsi="宋体" w:cs="宋体" w:hint="eastAsia"/>
                <w:kern w:val="0"/>
                <w:sz w:val="32"/>
                <w:szCs w:val="21"/>
              </w:rPr>
              <w:t xml:space="preserve">        公务用车购置费 </w:t>
            </w:r>
          </w:p>
        </w:tc>
        <w:tc>
          <w:tcPr>
            <w:tcW w:w="2157"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c>
          <w:tcPr>
            <w:tcW w:w="2220" w:type="dxa"/>
            <w:tcBorders>
              <w:top w:val="nil"/>
              <w:left w:val="nil"/>
              <w:bottom w:val="single" w:sz="4" w:space="0" w:color="auto"/>
              <w:right w:val="single" w:sz="4" w:space="0" w:color="auto"/>
            </w:tcBorders>
            <w:noWrap w:val="0"/>
            <w:vAlign w:val="center"/>
          </w:tcPr>
          <w:p>
            <w:pPr>
              <w:keepNext w:val="0"/>
              <w:keepLines w:val="0"/>
              <w:widowControl/>
              <w:suppressLineNumbers w:val="0"/>
              <w:jc w:val="right"/>
              <w:textAlignment w:val="center"/>
              <w:rPr>
                <w:rFonts w:ascii="宋体" w:eastAsia="仿宋_GB2312" w:hAnsi="宋体" w:cs="宋体"/>
                <w:kern w:val="0"/>
                <w:sz w:val="32"/>
                <w:szCs w:val="21"/>
              </w:rPr>
            </w:pPr>
            <w:r>
              <w:rPr>
                <w:rFonts w:ascii="宋体" w:eastAsia="宋体" w:hAnsi="宋体" w:cs="宋体" w:hint="eastAsia"/>
                <w:i w:val="0"/>
                <w:iCs w:val="0"/>
                <w:color w:val="000000"/>
                <w:kern w:val="0"/>
                <w:sz w:val="20"/>
                <w:szCs w:val="20"/>
                <w:u w:val="none"/>
                <w:lang w:val="en-US" w:eastAsia="zh-CN" w:bidi="ar"/>
              </w:rPr>
              <w:t>0.00</w:t>
            </w:r>
          </w:p>
        </w:tc>
      </w:tr>
    </w:tbl>
    <w:p>
      <w:pPr>
        <w:ind w:firstLine="640" w:firstLineChars="200"/>
        <w:rPr>
          <w:rFonts w:ascii="黑体" w:eastAsia="黑体" w:hAnsi="黑体" w:hint="eastAsia"/>
          <w:sz w:val="32"/>
          <w:szCs w:val="32"/>
        </w:rPr>
      </w:pPr>
      <w:r>
        <w:rPr>
          <w:rFonts w:ascii="黑体" w:eastAsia="黑体" w:hAnsi="黑体" w:hint="eastAsia"/>
          <w:sz w:val="32"/>
          <w:szCs w:val="32"/>
        </w:rPr>
        <w:t xml:space="preserve">                                      </w:t>
      </w:r>
    </w:p>
    <w:p>
      <w:pPr>
        <w:rPr>
          <w:rFonts w:ascii="黑体" w:eastAsia="黑体" w:hAnsi="黑体" w:hint="eastAsia"/>
          <w:sz w:val="32"/>
          <w:szCs w:val="32"/>
        </w:rPr>
      </w:pPr>
      <w:r>
        <w:rPr>
          <w:rFonts w:ascii="黑体" w:eastAsia="黑体" w:hAnsi="黑体"/>
          <w:sz w:val="32"/>
          <w:szCs w:val="32"/>
        </w:rPr>
        <w:t xml:space="preserve">    </w:t>
      </w:r>
      <w:r>
        <w:rPr>
          <w:rFonts w:ascii="黑体" w:eastAsia="黑体" w:hAnsi="黑体" w:hint="eastAsia"/>
          <w:sz w:val="32"/>
          <w:szCs w:val="32"/>
        </w:rPr>
        <w:t>二</w:t>
      </w:r>
      <w:r>
        <w:rPr>
          <w:rFonts w:ascii="黑体" w:eastAsia="黑体" w:hAnsi="黑体"/>
          <w:sz w:val="32"/>
          <w:szCs w:val="32"/>
        </w:rPr>
        <w:t>、2020年</w:t>
      </w:r>
      <w:r>
        <w:rPr>
          <w:rFonts w:ascii="黑体" w:eastAsia="黑体" w:hAnsi="黑体" w:hint="eastAsia"/>
          <w:sz w:val="32"/>
          <w:szCs w:val="32"/>
        </w:rPr>
        <w:t>度一般公共预算财政拨款“三公”经费支出</w:t>
      </w:r>
      <w:r>
        <w:rPr>
          <w:rFonts w:ascii="黑体" w:eastAsia="黑体" w:hAnsi="黑体"/>
          <w:sz w:val="32"/>
          <w:szCs w:val="32"/>
        </w:rPr>
        <w:t>情况说明</w:t>
      </w:r>
    </w:p>
    <w:p>
      <w:pPr>
        <w:ind w:firstLine="640" w:firstLineChars="200"/>
        <w:rPr>
          <w:rFonts w:ascii="仿宋_GB2312" w:eastAsia="仿宋_GB2312" w:hAnsi="仿宋" w:hint="eastAsia"/>
          <w:b/>
          <w:sz w:val="32"/>
          <w:szCs w:val="32"/>
        </w:rPr>
      </w:pPr>
      <w:r>
        <w:rPr>
          <w:rFonts w:ascii="仿宋_GB2312" w:eastAsia="仿宋_GB2312" w:hAnsi="仿宋" w:hint="eastAsia"/>
          <w:b/>
          <w:sz w:val="32"/>
          <w:szCs w:val="32"/>
        </w:rPr>
        <w:t>（一）一般公共预算财政拨款“三公”经费支出决算总体情况说明。</w:t>
      </w:r>
    </w:p>
    <w:p>
      <w:pPr>
        <w:ind w:firstLine="640" w:firstLineChars="200"/>
        <w:rPr>
          <w:rFonts w:ascii="仿宋_GB2312" w:eastAsia="仿宋_GB2312" w:hAnsi="仿宋" w:hint="eastAsia"/>
          <w:sz w:val="32"/>
          <w:szCs w:val="32"/>
        </w:rPr>
      </w:pPr>
      <w:r>
        <w:rPr>
          <w:rFonts w:ascii="仿宋_GB2312" w:eastAsia="仿宋_GB2312" w:hAnsi="仿宋" w:hint="eastAsia"/>
          <w:sz w:val="32"/>
          <w:szCs w:val="32"/>
          <w:lang w:val="en-US" w:eastAsia="zh-CN"/>
        </w:rPr>
        <w:t>寿县</w:t>
      </w:r>
      <w:r>
        <w:rPr>
          <w:rFonts w:ascii="仿宋_GB2312" w:eastAsia="仿宋_GB2312" w:hAnsi="仿宋" w:hint="eastAsia"/>
          <w:sz w:val="32"/>
          <w:szCs w:val="32"/>
          <w:lang w:eastAsia="zh-CN"/>
        </w:rPr>
        <w:t>档案馆</w:t>
      </w:r>
      <w:r>
        <w:rPr>
          <w:rFonts w:ascii="仿宋_GB2312" w:eastAsia="仿宋_GB2312" w:hAnsi="仿宋" w:hint="eastAsia"/>
          <w:sz w:val="32"/>
          <w:szCs w:val="32"/>
        </w:rPr>
        <w:t>2020年度一般公共预算财政拨款“三公”经费支出预算为</w:t>
      </w:r>
      <w:r>
        <w:rPr>
          <w:rFonts w:ascii="仿宋_GB2312" w:eastAsia="仿宋_GB2312" w:hAnsi="仿宋" w:hint="eastAsia"/>
          <w:sz w:val="32"/>
          <w:szCs w:val="32"/>
          <w:lang w:val="en-US" w:eastAsia="zh-CN"/>
        </w:rPr>
        <w:t>2</w:t>
      </w:r>
      <w:r>
        <w:rPr>
          <w:rFonts w:ascii="仿宋_GB2312" w:eastAsia="仿宋_GB2312" w:hAnsi="仿宋" w:hint="eastAsia"/>
          <w:sz w:val="32"/>
          <w:szCs w:val="32"/>
        </w:rPr>
        <w:t>万元，支出决算为</w:t>
      </w:r>
      <w:r>
        <w:rPr>
          <w:rFonts w:ascii="仿宋_GB2312" w:eastAsia="仿宋_GB2312" w:hAnsi="仿宋" w:hint="eastAsia"/>
          <w:sz w:val="32"/>
          <w:szCs w:val="32"/>
          <w:lang w:val="en-US" w:eastAsia="zh-CN"/>
        </w:rPr>
        <w:t>1.86</w:t>
      </w:r>
      <w:r>
        <w:rPr>
          <w:rFonts w:ascii="仿宋_GB2312" w:eastAsia="仿宋_GB2312" w:hAnsi="仿宋" w:hint="eastAsia"/>
          <w:sz w:val="32"/>
          <w:szCs w:val="32"/>
        </w:rPr>
        <w:t>万元，完成预算的</w:t>
      </w:r>
      <w:r>
        <w:rPr>
          <w:rFonts w:ascii="仿宋_GB2312" w:eastAsia="仿宋_GB2312" w:hAnsi="仿宋" w:hint="eastAsia"/>
          <w:sz w:val="32"/>
          <w:szCs w:val="32"/>
          <w:lang w:val="en-US" w:eastAsia="zh-CN"/>
        </w:rPr>
        <w:t>93</w:t>
      </w:r>
      <w:r>
        <w:rPr>
          <w:rFonts w:ascii="仿宋_GB2312" w:eastAsia="仿宋_GB2312" w:hAnsi="仿宋" w:hint="eastAsia"/>
          <w:sz w:val="32"/>
          <w:szCs w:val="32"/>
        </w:rPr>
        <w:t>%，决算数小于预算数的主要原因是</w:t>
      </w:r>
      <w:r>
        <w:rPr>
          <w:rFonts w:ascii="仿宋_GB2312" w:eastAsia="仿宋_GB2312" w:hAnsi="仿宋" w:hint="eastAsia"/>
          <w:sz w:val="32"/>
          <w:szCs w:val="32"/>
          <w:lang w:eastAsia="zh-CN"/>
        </w:rPr>
        <w:t>厉行节约</w:t>
      </w:r>
      <w:r>
        <w:rPr>
          <w:rFonts w:ascii="仿宋_GB2312" w:eastAsia="仿宋_GB2312" w:hAnsi="仿宋" w:hint="eastAsia"/>
          <w:sz w:val="32"/>
          <w:szCs w:val="32"/>
        </w:rPr>
        <w:t>。为全面反映“三公”经费支出，本次公布的“三公”经费决算为部门汇总数，包含单位本级和</w:t>
      </w:r>
      <w:r>
        <w:rPr>
          <w:rFonts w:ascii="仿宋_GB2312" w:eastAsia="仿宋_GB2312" w:hAnsi="仿宋" w:hint="eastAsia"/>
          <w:sz w:val="32"/>
          <w:szCs w:val="32"/>
          <w:lang w:val="en-US" w:eastAsia="zh-CN"/>
        </w:rPr>
        <w:t>所属</w:t>
      </w:r>
      <w:r>
        <w:rPr>
          <w:rFonts w:ascii="仿宋_GB2312" w:eastAsia="仿宋_GB2312" w:hAnsi="仿宋" w:hint="eastAsia"/>
          <w:sz w:val="32"/>
          <w:szCs w:val="32"/>
        </w:rPr>
        <w:t>单位。</w:t>
      </w:r>
    </w:p>
    <w:p>
      <w:pPr>
        <w:ind w:firstLine="640" w:firstLineChars="200"/>
        <w:rPr>
          <w:rFonts w:ascii="仿宋_GB2312" w:eastAsia="仿宋_GB2312" w:hAnsi="仿宋" w:hint="eastAsia"/>
          <w:b/>
          <w:sz w:val="32"/>
          <w:szCs w:val="32"/>
        </w:rPr>
      </w:pPr>
      <w:r>
        <w:rPr>
          <w:rFonts w:ascii="仿宋_GB2312" w:eastAsia="仿宋_GB2312" w:hAnsi="仿宋" w:hint="eastAsia"/>
          <w:b/>
          <w:bCs/>
          <w:sz w:val="32"/>
          <w:szCs w:val="32"/>
        </w:rPr>
        <w:t>（二）</w:t>
      </w:r>
      <w:r>
        <w:rPr>
          <w:rFonts w:ascii="仿宋_GB2312" w:eastAsia="仿宋_GB2312" w:hAnsi="仿宋" w:hint="eastAsia"/>
          <w:b/>
          <w:sz w:val="32"/>
          <w:szCs w:val="32"/>
        </w:rPr>
        <w:t>一般公共预算财政拨款“三公”经费支出决算具体情况说明。</w:t>
      </w:r>
    </w:p>
    <w:p>
      <w:pPr>
        <w:ind w:firstLine="640" w:firstLineChars="200"/>
        <w:rPr>
          <w:rFonts w:ascii="仿宋_GB2312" w:eastAsia="仿宋_GB2312" w:hAnsi="仿宋" w:hint="eastAsia"/>
          <w:sz w:val="32"/>
          <w:szCs w:val="32"/>
        </w:rPr>
      </w:pPr>
      <w:r>
        <w:rPr>
          <w:rFonts w:ascii="仿宋_GB2312" w:eastAsia="仿宋_GB2312" w:hAnsi="仿宋" w:hint="eastAsia"/>
          <w:sz w:val="32"/>
          <w:szCs w:val="32"/>
          <w:lang w:val="en-US" w:eastAsia="zh-CN"/>
        </w:rPr>
        <w:t>寿县</w:t>
      </w:r>
      <w:r>
        <w:rPr>
          <w:rFonts w:ascii="仿宋_GB2312" w:eastAsia="仿宋_GB2312" w:hAnsi="仿宋" w:hint="eastAsia"/>
          <w:sz w:val="32"/>
          <w:szCs w:val="32"/>
          <w:lang w:eastAsia="zh-CN"/>
        </w:rPr>
        <w:t>档案馆</w:t>
      </w:r>
      <w:r>
        <w:rPr>
          <w:rFonts w:ascii="仿宋_GB2312" w:eastAsia="仿宋_GB2312" w:hAnsi="仿宋" w:hint="eastAsia"/>
          <w:sz w:val="32"/>
          <w:szCs w:val="32"/>
        </w:rPr>
        <w:t>2020年度一般公共预算财政拨款“三公”经费支出决算中，因公出国（境）费支出决算</w:t>
      </w:r>
      <w:r>
        <w:rPr>
          <w:rFonts w:ascii="仿宋_GB2312" w:eastAsia="仿宋_GB2312" w:hAnsi="仿宋" w:hint="eastAsia"/>
          <w:sz w:val="32"/>
          <w:szCs w:val="32"/>
          <w:lang w:val="en-US" w:eastAsia="zh-CN"/>
        </w:rPr>
        <w:t>0</w:t>
      </w:r>
      <w:r>
        <w:rPr>
          <w:rFonts w:ascii="仿宋_GB2312" w:eastAsia="仿宋_GB2312" w:hAnsi="仿宋" w:hint="eastAsia"/>
          <w:sz w:val="32"/>
          <w:szCs w:val="32"/>
        </w:rPr>
        <w:t>万元，占</w:t>
      </w:r>
      <w:r>
        <w:rPr>
          <w:rFonts w:ascii="仿宋_GB2312" w:eastAsia="仿宋_GB2312" w:hAnsi="仿宋" w:hint="eastAsia"/>
          <w:sz w:val="32"/>
          <w:szCs w:val="32"/>
          <w:lang w:val="en-US" w:eastAsia="zh-CN"/>
        </w:rPr>
        <w:t>0</w:t>
      </w:r>
      <w:r>
        <w:rPr>
          <w:rFonts w:ascii="仿宋_GB2312" w:eastAsia="仿宋_GB2312" w:hAnsi="仿宋" w:hint="eastAsia"/>
          <w:sz w:val="32"/>
          <w:szCs w:val="32"/>
        </w:rPr>
        <w:t>%;公务接待费支出决算</w:t>
      </w:r>
      <w:r>
        <w:rPr>
          <w:rFonts w:ascii="仿宋_GB2312" w:eastAsia="仿宋_GB2312" w:hAnsi="仿宋" w:hint="eastAsia"/>
          <w:sz w:val="32"/>
          <w:szCs w:val="32"/>
          <w:lang w:val="en-US" w:eastAsia="zh-CN"/>
        </w:rPr>
        <w:t>1.86</w:t>
      </w:r>
      <w:r>
        <w:rPr>
          <w:rFonts w:ascii="仿宋_GB2312" w:eastAsia="仿宋_GB2312" w:hAnsi="仿宋" w:hint="eastAsia"/>
          <w:sz w:val="32"/>
          <w:szCs w:val="32"/>
        </w:rPr>
        <w:t>万元，占</w:t>
      </w:r>
      <w:r>
        <w:rPr>
          <w:rFonts w:ascii="仿宋_GB2312" w:eastAsia="仿宋_GB2312" w:hAnsi="仿宋" w:hint="eastAsia"/>
          <w:sz w:val="32"/>
          <w:szCs w:val="32"/>
          <w:lang w:val="en-US" w:eastAsia="zh-CN"/>
        </w:rPr>
        <w:t>100</w:t>
      </w:r>
      <w:r>
        <w:rPr>
          <w:rFonts w:ascii="仿宋_GB2312" w:eastAsia="仿宋_GB2312" w:hAnsi="仿宋" w:hint="eastAsia"/>
          <w:sz w:val="32"/>
          <w:szCs w:val="32"/>
        </w:rPr>
        <w:t>%；公务用车购置及运行维护费支出决算</w:t>
      </w:r>
      <w:r>
        <w:rPr>
          <w:rFonts w:ascii="仿宋_GB2312" w:eastAsia="仿宋_GB2312" w:hAnsi="仿宋" w:hint="eastAsia"/>
          <w:sz w:val="32"/>
          <w:szCs w:val="32"/>
          <w:lang w:val="en-US" w:eastAsia="zh-CN"/>
        </w:rPr>
        <w:t>0</w:t>
      </w:r>
      <w:r>
        <w:rPr>
          <w:rFonts w:ascii="仿宋_GB2312" w:eastAsia="仿宋_GB2312" w:hAnsi="仿宋" w:hint="eastAsia"/>
          <w:sz w:val="32"/>
          <w:szCs w:val="32"/>
        </w:rPr>
        <w:t>万元，占</w:t>
      </w:r>
      <w:r>
        <w:rPr>
          <w:rFonts w:ascii="仿宋_GB2312" w:eastAsia="仿宋_GB2312" w:hAnsi="仿宋" w:hint="eastAsia"/>
          <w:sz w:val="32"/>
          <w:szCs w:val="32"/>
          <w:lang w:val="en-US" w:eastAsia="zh-CN"/>
        </w:rPr>
        <w:t>0</w:t>
      </w:r>
      <w:r>
        <w:rPr>
          <w:rFonts w:ascii="仿宋_GB2312" w:eastAsia="仿宋_GB2312" w:hAnsi="仿宋" w:hint="eastAsia"/>
          <w:sz w:val="32"/>
          <w:szCs w:val="32"/>
        </w:rPr>
        <w:t>%。具体情况如下：</w:t>
      </w:r>
    </w:p>
    <w:p>
      <w:pPr>
        <w:ind w:firstLine="628"/>
        <w:rPr>
          <w:rFonts w:ascii="仿宋_GB2312" w:eastAsia="仿宋_GB2312" w:hAnsi="仿宋" w:hint="eastAsia"/>
          <w:sz w:val="32"/>
          <w:szCs w:val="32"/>
        </w:rPr>
      </w:pPr>
      <w:r>
        <w:rPr>
          <w:rFonts w:ascii="仿宋_GB2312" w:eastAsia="仿宋_GB2312" w:hAnsi="仿宋" w:hint="eastAsia"/>
          <w:b/>
          <w:bCs/>
          <w:sz w:val="32"/>
          <w:szCs w:val="32"/>
        </w:rPr>
        <w:t>1.因公出国（境）费支出</w:t>
      </w:r>
      <w:r>
        <w:rPr>
          <w:rFonts w:ascii="仿宋_GB2312" w:eastAsia="仿宋_GB2312" w:hAnsi="仿宋" w:hint="eastAsia"/>
          <w:sz w:val="32"/>
          <w:szCs w:val="32"/>
          <w:lang w:val="en-US" w:eastAsia="zh-CN"/>
        </w:rPr>
        <w:t>0</w:t>
      </w:r>
      <w:r>
        <w:rPr>
          <w:rFonts w:ascii="仿宋_GB2312" w:eastAsia="仿宋_GB2312" w:hAnsi="仿宋" w:hint="eastAsia"/>
          <w:sz w:val="32"/>
          <w:szCs w:val="32"/>
        </w:rPr>
        <w:t>元，经费使用严格按照</w:t>
      </w:r>
      <w:r>
        <w:rPr>
          <w:rFonts w:ascii="仿宋_GB2312" w:eastAsia="仿宋_GB2312" w:hAnsi="Times New Roman" w:cs="宋体" w:hint="eastAsia"/>
          <w:kern w:val="2"/>
          <w:sz w:val="32"/>
          <w:szCs w:val="32"/>
          <w:lang w:val="en-US" w:eastAsia="zh-CN" w:bidi="ar-SA"/>
        </w:rPr>
        <w:t>《寿县党政机关因公临时出国经费管理办法》（财公〔2016〕29号）等相关规定执行</w:t>
      </w:r>
      <w:r>
        <w:rPr>
          <w:rFonts w:ascii="仿宋_GB2312" w:eastAsia="仿宋_GB2312" w:hAnsi="仿宋" w:hint="eastAsia"/>
          <w:sz w:val="32"/>
          <w:szCs w:val="32"/>
        </w:rPr>
        <w:t>。</w:t>
      </w:r>
    </w:p>
    <w:p>
      <w:pPr>
        <w:ind w:firstLine="640" w:firstLineChars="200"/>
        <w:rPr>
          <w:rFonts w:ascii="仿宋_GB2312" w:eastAsia="仿宋_GB2312" w:hAnsi="仿宋" w:hint="eastAsia"/>
          <w:sz w:val="32"/>
          <w:szCs w:val="32"/>
        </w:rPr>
      </w:pPr>
      <w:r>
        <w:rPr>
          <w:rFonts w:ascii="仿宋_GB2312" w:eastAsia="仿宋_GB2312" w:hAnsi="仿宋" w:hint="eastAsia"/>
          <w:b/>
          <w:bCs/>
          <w:sz w:val="32"/>
          <w:szCs w:val="32"/>
        </w:rPr>
        <w:t>2.公务接待费支出</w:t>
      </w:r>
      <w:r>
        <w:rPr>
          <w:rFonts w:ascii="仿宋_GB2312" w:eastAsia="仿宋_GB2312" w:hAnsi="仿宋" w:hint="eastAsia"/>
          <w:sz w:val="32"/>
          <w:szCs w:val="32"/>
          <w:lang w:val="en-US" w:eastAsia="zh-CN"/>
        </w:rPr>
        <w:t>1.86</w:t>
      </w:r>
      <w:r>
        <w:rPr>
          <w:rFonts w:ascii="仿宋_GB2312" w:eastAsia="仿宋_GB2312" w:hAnsi="仿宋" w:hint="eastAsia"/>
          <w:sz w:val="32"/>
          <w:szCs w:val="32"/>
        </w:rPr>
        <w:t>万元, 与2020年度预算相比，减少</w:t>
      </w:r>
      <w:r>
        <w:rPr>
          <w:rFonts w:ascii="仿宋_GB2312" w:eastAsia="仿宋_GB2312" w:hAnsi="仿宋" w:hint="eastAsia"/>
          <w:sz w:val="32"/>
          <w:szCs w:val="32"/>
          <w:lang w:val="en-US" w:eastAsia="zh-CN"/>
        </w:rPr>
        <w:t>0.14</w:t>
      </w:r>
      <w:r>
        <w:rPr>
          <w:rFonts w:ascii="仿宋_GB2312" w:eastAsia="仿宋_GB2312" w:hAnsi="仿宋" w:hint="eastAsia"/>
          <w:sz w:val="32"/>
          <w:szCs w:val="32"/>
        </w:rPr>
        <w:t>万元，下降</w:t>
      </w:r>
      <w:r>
        <w:rPr>
          <w:rFonts w:ascii="仿宋_GB2312" w:eastAsia="仿宋_GB2312" w:hAnsi="仿宋" w:hint="eastAsia"/>
          <w:sz w:val="32"/>
          <w:szCs w:val="32"/>
          <w:lang w:val="en-US" w:eastAsia="zh-CN"/>
        </w:rPr>
        <w:t>7</w:t>
      </w:r>
      <w:r>
        <w:rPr>
          <w:rFonts w:ascii="仿宋_GB2312" w:eastAsia="仿宋_GB2312" w:hAnsi="仿宋" w:hint="eastAsia"/>
          <w:sz w:val="32"/>
          <w:szCs w:val="32"/>
        </w:rPr>
        <w:t>%，下降的原因是</w:t>
      </w:r>
      <w:r>
        <w:rPr>
          <w:rFonts w:ascii="仿宋_GB2312" w:eastAsia="仿宋_GB2312" w:hAnsi="仿宋" w:hint="eastAsia"/>
          <w:sz w:val="32"/>
          <w:szCs w:val="32"/>
          <w:lang w:eastAsia="zh-CN"/>
        </w:rPr>
        <w:t>单位厉行节约</w:t>
      </w:r>
      <w:r>
        <w:rPr>
          <w:rFonts w:ascii="仿宋_GB2312" w:eastAsia="仿宋_GB2312" w:hAnsi="仿宋" w:hint="eastAsia"/>
          <w:sz w:val="32"/>
          <w:szCs w:val="32"/>
        </w:rPr>
        <w:t>。2020年</w:t>
      </w:r>
      <w:r>
        <w:rPr>
          <w:rFonts w:ascii="仿宋_GB2312" w:eastAsia="仿宋_GB2312" w:hAnsi="仿宋" w:hint="eastAsia"/>
          <w:sz w:val="32"/>
          <w:szCs w:val="32"/>
          <w:lang w:val="en-US" w:eastAsia="zh-CN"/>
        </w:rPr>
        <w:t>寿县</w:t>
      </w:r>
      <w:r>
        <w:rPr>
          <w:rFonts w:ascii="仿宋_GB2312" w:eastAsia="仿宋_GB2312" w:hAnsi="仿宋" w:hint="eastAsia"/>
          <w:sz w:val="32"/>
          <w:szCs w:val="32"/>
          <w:lang w:eastAsia="zh-CN"/>
        </w:rPr>
        <w:t>档案馆</w:t>
      </w:r>
      <w:r>
        <w:rPr>
          <w:rFonts w:ascii="仿宋_GB2312" w:eastAsia="仿宋_GB2312" w:hAnsi="仿宋" w:hint="eastAsia"/>
          <w:sz w:val="32"/>
          <w:szCs w:val="32"/>
        </w:rPr>
        <w:t>国内公务接待共</w:t>
      </w:r>
      <w:r>
        <w:rPr>
          <w:rFonts w:ascii="仿宋_GB2312" w:eastAsia="仿宋_GB2312" w:hAnsi="仿宋" w:hint="eastAsia"/>
          <w:sz w:val="32"/>
          <w:szCs w:val="32"/>
          <w:lang w:val="en-US" w:eastAsia="zh-CN"/>
        </w:rPr>
        <w:t>27</w:t>
      </w:r>
      <w:r>
        <w:rPr>
          <w:rFonts w:ascii="仿宋_GB2312" w:eastAsia="仿宋_GB2312" w:hAnsi="仿宋" w:hint="eastAsia"/>
          <w:sz w:val="32"/>
          <w:szCs w:val="32"/>
        </w:rPr>
        <w:t>批次（其中外事接待</w:t>
      </w:r>
      <w:r>
        <w:rPr>
          <w:rFonts w:ascii="仿宋_GB2312" w:eastAsia="仿宋_GB2312" w:hAnsi="仿宋" w:hint="eastAsia"/>
          <w:sz w:val="32"/>
          <w:szCs w:val="32"/>
          <w:lang w:val="en-US" w:eastAsia="zh-CN"/>
        </w:rPr>
        <w:t>0</w:t>
      </w:r>
      <w:r>
        <w:rPr>
          <w:rFonts w:ascii="仿宋_GB2312" w:eastAsia="仿宋_GB2312" w:hAnsi="仿宋" w:hint="eastAsia"/>
          <w:sz w:val="32"/>
          <w:szCs w:val="32"/>
        </w:rPr>
        <w:t>批次），</w:t>
      </w:r>
      <w:r>
        <w:rPr>
          <w:rFonts w:ascii="仿宋_GB2312" w:eastAsia="仿宋_GB2312" w:hAnsi="仿宋" w:hint="eastAsia"/>
          <w:sz w:val="32"/>
          <w:szCs w:val="32"/>
          <w:lang w:val="en-US" w:eastAsia="zh-CN"/>
        </w:rPr>
        <w:t>100</w:t>
      </w:r>
      <w:r>
        <w:rPr>
          <w:rFonts w:ascii="仿宋_GB2312" w:eastAsia="仿宋_GB2312" w:hAnsi="仿宋" w:hint="eastAsia"/>
          <w:sz w:val="32"/>
          <w:szCs w:val="32"/>
        </w:rPr>
        <w:t>人次（其中外事接待</w:t>
      </w:r>
      <w:r>
        <w:rPr>
          <w:rFonts w:ascii="仿宋_GB2312" w:eastAsia="仿宋_GB2312" w:hAnsi="仿宋" w:hint="eastAsia"/>
          <w:sz w:val="32"/>
          <w:szCs w:val="32"/>
          <w:lang w:val="en-US" w:eastAsia="zh-CN"/>
        </w:rPr>
        <w:t>0</w:t>
      </w:r>
      <w:r>
        <w:rPr>
          <w:rFonts w:ascii="仿宋_GB2312" w:eastAsia="仿宋_GB2312" w:hAnsi="仿宋" w:hint="eastAsia"/>
          <w:sz w:val="32"/>
          <w:szCs w:val="32"/>
        </w:rPr>
        <w:t>人次）。主要是用于</w:t>
      </w:r>
      <w:r>
        <w:rPr>
          <w:rFonts w:ascii="仿宋_GB2312" w:eastAsia="仿宋_GB2312" w:hAnsi="仿宋" w:hint="eastAsia"/>
          <w:sz w:val="32"/>
          <w:szCs w:val="32"/>
          <w:lang w:eastAsia="zh-CN"/>
        </w:rPr>
        <w:t>档案事务</w:t>
      </w:r>
      <w:r>
        <w:rPr>
          <w:rFonts w:ascii="仿宋_GB2312" w:eastAsia="仿宋_GB2312" w:hAnsi="仿宋" w:hint="eastAsia"/>
          <w:sz w:val="32"/>
          <w:szCs w:val="32"/>
        </w:rPr>
        <w:t>。</w:t>
      </w:r>
      <w:r>
        <w:rPr>
          <w:rFonts w:ascii="仿宋_GB2312" w:eastAsia="仿宋_GB2312" w:hAnsi="Times New Roman" w:cs="宋体" w:hint="eastAsia"/>
          <w:kern w:val="2"/>
          <w:sz w:val="32"/>
          <w:szCs w:val="32"/>
          <w:lang w:val="en-US" w:eastAsia="zh-CN" w:bidi="ar-SA"/>
        </w:rPr>
        <w:t>经费使用贯彻</w:t>
      </w:r>
      <w:r>
        <w:rPr>
          <w:rFonts w:ascii="仿宋_GB2312" w:eastAsia="仿宋_GB2312" w:hAnsi="Times New Roman" w:cs="宋体" w:hint="eastAsia"/>
          <w:kern w:val="2"/>
          <w:sz w:val="32"/>
          <w:szCs w:val="32"/>
          <w:lang w:val="en-US" w:eastAsia="zh-CN" w:bidi="ar-SA"/>
        </w:rPr>
        <w:t>中央</w:t>
      </w:r>
      <w:r>
        <w:rPr>
          <w:rFonts w:ascii="仿宋_GB2312" w:eastAsia="仿宋_GB2312" w:hAnsi="Times New Roman" w:cs="宋体" w:hint="eastAsia"/>
          <w:kern w:val="2"/>
          <w:sz w:val="32"/>
          <w:szCs w:val="32"/>
          <w:lang w:val="en-US" w:eastAsia="zh-CN" w:bidi="ar-SA"/>
        </w:rPr>
        <w:t>八项规定</w:t>
      </w:r>
      <w:r>
        <w:rPr>
          <w:rFonts w:ascii="仿宋_GB2312" w:eastAsia="仿宋_GB2312" w:hAnsi="Times New Roman" w:cs="宋体" w:hint="eastAsia"/>
          <w:kern w:val="2"/>
          <w:sz w:val="32"/>
          <w:szCs w:val="32"/>
          <w:lang w:val="en-US" w:eastAsia="zh-CN" w:bidi="ar-SA"/>
        </w:rPr>
        <w:t>、《党政机关厉行节约反对浪费条例》、县委县政府有关具体要求，严格执行</w:t>
      </w:r>
      <w:r>
        <w:rPr>
          <w:rFonts w:ascii="仿宋_GB2312" w:eastAsia="仿宋_GB2312" w:hAnsi="Times New Roman" w:cs="宋体" w:hint="eastAsia"/>
          <w:kern w:val="2"/>
          <w:sz w:val="32"/>
          <w:szCs w:val="32"/>
          <w:highlight w:val="none"/>
          <w:lang w:val="en-US" w:eastAsia="zh-CN" w:bidi="ar-SA"/>
        </w:rPr>
        <w:t>《寿县党政机关公务接待管理规定》（寿办发〔2015〕2号）</w:t>
      </w:r>
      <w:r>
        <w:rPr>
          <w:rFonts w:ascii="仿宋_GB2312" w:eastAsia="仿宋_GB2312" w:hAnsi="Times New Roman" w:cs="宋体" w:hint="eastAsia"/>
          <w:kern w:val="2"/>
          <w:sz w:val="32"/>
          <w:szCs w:val="32"/>
          <w:lang w:val="en-US" w:eastAsia="zh-CN" w:bidi="ar-SA"/>
        </w:rPr>
        <w:t>相关规定。</w:t>
      </w:r>
    </w:p>
    <w:p>
      <w:pPr>
        <w:ind w:firstLine="640" w:firstLineChars="200"/>
        <w:rPr>
          <w:rFonts w:ascii="仿宋_GB2312" w:eastAsia="楷体_GB2312" w:hAnsi="仿宋" w:hint="eastAsia"/>
          <w:sz w:val="32"/>
          <w:szCs w:val="32"/>
          <w:lang w:eastAsia="zh-CN"/>
        </w:rPr>
      </w:pPr>
      <w:r>
        <w:rPr>
          <w:rFonts w:ascii="仿宋_GB2312" w:eastAsia="仿宋_GB2312" w:hAnsi="仿宋" w:hint="eastAsia"/>
          <w:b/>
          <w:bCs/>
          <w:sz w:val="32"/>
          <w:szCs w:val="32"/>
        </w:rPr>
        <w:t>3.公务用车购置及运行维护费支出</w:t>
      </w:r>
      <w:r>
        <w:rPr>
          <w:rFonts w:ascii="仿宋_GB2312" w:eastAsia="仿宋_GB2312" w:hAnsi="仿宋" w:hint="eastAsia"/>
          <w:sz w:val="32"/>
          <w:szCs w:val="32"/>
          <w:lang w:val="en-US" w:eastAsia="zh-CN"/>
        </w:rPr>
        <w:t>0</w:t>
      </w:r>
      <w:r>
        <w:rPr>
          <w:rFonts w:ascii="仿宋_GB2312" w:eastAsia="仿宋_GB2312" w:hAnsi="仿宋" w:hint="eastAsia"/>
          <w:sz w:val="32"/>
          <w:szCs w:val="32"/>
        </w:rPr>
        <w:t>万元，</w:t>
      </w:r>
      <w:r>
        <w:rPr>
          <w:rFonts w:ascii="楷体_GB2312" w:eastAsia="楷体_GB2312" w:hAnsi="仿宋" w:hint="eastAsia"/>
          <w:sz w:val="32"/>
          <w:szCs w:val="32"/>
        </w:rPr>
        <w:t>2020年没有安排公务用车购置费</w:t>
      </w:r>
      <w:r>
        <w:rPr>
          <w:rFonts w:ascii="楷体_GB2312" w:eastAsia="楷体_GB2312" w:hAnsi="仿宋" w:hint="eastAsia"/>
          <w:sz w:val="32"/>
          <w:szCs w:val="32"/>
          <w:lang w:eastAsia="zh-CN"/>
        </w:rPr>
        <w:t>。</w:t>
      </w:r>
    </w:p>
    <w:p>
      <w:pPr>
        <w:ind w:left="1421" w:hanging="896" w:leftChars="250" w:hangingChars="249"/>
        <w:jc w:val="center"/>
        <w:rPr>
          <w:rFonts w:ascii="宋体" w:hAnsi="宋体" w:hint="eastAsia"/>
          <w:b/>
          <w:sz w:val="36"/>
          <w:szCs w:val="36"/>
        </w:rPr>
      </w:pPr>
    </w:p>
    <w:p>
      <w:pPr>
        <w:spacing w:line="348" w:lineRule="auto"/>
        <w:rPr>
          <w:rFonts w:ascii="黑体" w:eastAsia="黑体" w:hAnsi="黑体" w:cs="楷体_GB2312" w:hint="eastAsia"/>
          <w:bCs/>
          <w:sz w:val="32"/>
          <w:szCs w:val="32"/>
        </w:rPr>
      </w:pPr>
    </w:p>
    <w:p>
      <w:pPr>
        <w:spacing w:line="348" w:lineRule="auto"/>
        <w:rPr>
          <w:rFonts w:ascii="黑体" w:eastAsia="黑体" w:hAnsi="黑体" w:cs="楷体_GB2312" w:hint="eastAsia"/>
          <w:bCs/>
          <w:sz w:val="32"/>
          <w:szCs w:val="32"/>
        </w:rPr>
      </w:pPr>
    </w:p>
    <w:p>
      <w:pPr>
        <w:spacing w:line="348" w:lineRule="auto"/>
        <w:rPr>
          <w:rFonts w:ascii="黑体" w:eastAsia="黑体" w:hAnsi="黑体" w:cs="楷体_GB2312" w:hint="eastAsia"/>
          <w:bCs/>
          <w:sz w:val="32"/>
          <w:szCs w:val="32"/>
        </w:rPr>
      </w:pPr>
    </w:p>
    <w:p>
      <w:pPr>
        <w:spacing w:line="348" w:lineRule="auto"/>
        <w:rPr>
          <w:rFonts w:ascii="黑体" w:eastAsia="黑体" w:hAnsi="黑体" w:cs="楷体_GB2312" w:hint="eastAsia"/>
          <w:bCs/>
          <w:sz w:val="32"/>
          <w:szCs w:val="32"/>
        </w:rPr>
      </w:pPr>
    </w:p>
    <w:p>
      <w:pPr>
        <w:spacing w:line="348" w:lineRule="auto"/>
        <w:rPr>
          <w:rFonts w:ascii="黑体" w:eastAsia="黑体" w:hAnsi="黑体" w:cs="楷体_GB2312" w:hint="eastAsia"/>
          <w:bCs/>
          <w:sz w:val="32"/>
          <w:szCs w:val="32"/>
        </w:rPr>
      </w:pPr>
    </w:p>
    <w:p/>
    <w:sectPr>
      <w:headerReference w:type="default" r:id="rId5"/>
      <w:footerReference w:type="even" r:id="rId6"/>
      <w:footerReference w:type="default" r:id="rId7"/>
      <w:pgSz w:w="11906" w:h="16838"/>
      <w:pgMar w:top="2098" w:right="1531" w:bottom="1985" w:left="1531" w:header="851" w:footer="1418" w:gutter="0"/>
      <w:pgBorders>
        <w:top w:val="none" w:sz="0" w:space="0" w:color="auto"/>
        <w:left w:val="none" w:sz="0" w:space="0" w:color="auto"/>
        <w:bottom w:val="none" w:sz="0" w:space="0" w:color="auto"/>
        <w:right w:val="none" w:sz="0" w:space="0" w:color="auto"/>
      </w:pgBorders>
      <w:pgNumType w:fmt="numberInDash"/>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Fonts w:ascii="宋体" w:hAnsi="宋体"/>
        <w:sz w:val="28"/>
        <w:szCs w:val="28"/>
      </w:rPr>
      <w:fldChar w:fldCharType="begin"/>
    </w:r>
    <w:r>
      <w:rPr>
        <w:rStyle w:val="PageNumber"/>
        <w:rFonts w:ascii="宋体" w:hAnsi="宋体"/>
        <w:sz w:val="28"/>
        <w:szCs w:val="28"/>
      </w:rPr>
      <w:instrText xml:space="preserve">PAGE  </w:instrText>
    </w:r>
    <w:r>
      <w:rPr>
        <w:rFonts w:ascii="宋体" w:hAnsi="宋体"/>
        <w:sz w:val="28"/>
        <w:szCs w:val="28"/>
      </w:rPr>
      <w:fldChar w:fldCharType="separate"/>
    </w:r>
    <w:r>
      <w:rPr>
        <w:rStyle w:val="PageNumber"/>
        <w:rFonts w:ascii="宋体" w:hAnsi="宋体"/>
        <w:sz w:val="28"/>
        <w:szCs w:val="28"/>
      </w:rPr>
      <w:t>- 4 -</w:t>
    </w:r>
    <w:r>
      <w:rPr>
        <w:rFonts w:ascii="宋体" w:hAnsi="宋体"/>
        <w:sz w:val="28"/>
        <w:szCs w:val="28"/>
      </w:rPr>
      <w:fldChar w:fldCharType="end"/>
    </w:r>
  </w:p>
  <w:p>
    <w:pPr>
      <w:pStyle w:val="Footer"/>
      <w:ind w:right="360"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EB10902"/>
    <w:multiLevelType w:val="singleLevel"/>
    <w:tmpl w:val="3EB10902"/>
    <w:lvl w:ilvl="0">
      <w:start w:val="1"/>
      <w:numFmt w:val="decimal"/>
      <w:suff w:val="nothing"/>
      <w:lvlText w:val="%1．"/>
      <w:lvlJc w:val="left"/>
      <w:pPr>
        <w:ind w:left="-13"/>
      </w:pPr>
    </w:lvl>
  </w:abstractNum>
  <w:abstractNum w:abstractNumId="1">
    <w:nsid w:val="5D2C3222"/>
    <w:multiLevelType w:val="singleLevel"/>
    <w:tmpl w:val="5D2C3222"/>
    <w:lvl w:ilvl="0">
      <w:start w:val="6"/>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E0400"/>
    <w:rsid w:val="359E04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Ind w:w="0" w:type="dxa"/>
      <w:tblCellMar>
        <w:top w:w="0" w:type="dxa"/>
        <w:left w:w="108" w:type="dxa"/>
        <w:bottom w:w="0" w:type="dxa"/>
        <w:right w:w="108" w:type="dxa"/>
      </w:tblCellMar>
    </w:tblPr>
  </w:style>
  <w:style w:type="paragraph" w:styleId="BodyTextIndent">
    <w:name w:val="Body Text Indent"/>
    <w:basedOn w:val="Normal"/>
    <w:qFormat/>
    <w:pPr>
      <w:adjustRightInd w:val="0"/>
      <w:snapToGrid w:val="0"/>
      <w:spacing w:line="560" w:lineRule="atLeast"/>
      <w:ind w:firstLine="640" w:firstLineChars="200"/>
    </w:pPr>
    <w:rPr>
      <w:kern w:val="0"/>
      <w:szCs w:val="28"/>
    </w:rPr>
  </w:style>
  <w:style w:type="paragraph" w:styleId="BodyTextIndent2">
    <w:name w:val="Body Text Indent 2"/>
    <w:basedOn w:val="Normal"/>
    <w:qFormat/>
    <w:pPr>
      <w:spacing w:after="120" w:line="480" w:lineRule="auto"/>
      <w:ind w:left="420"/>
    </w:pPr>
  </w:style>
  <w:style w:type="paragraph" w:styleId="Footer">
    <w:name w:val="footer"/>
    <w:basedOn w:val="Normal"/>
    <w:qFormat/>
    <w:pPr>
      <w:tabs>
        <w:tab w:val="center" w:pos="4153"/>
        <w:tab w:val="right" w:pos="8306"/>
      </w:tabs>
      <w:snapToGrid w:val="0"/>
      <w:jc w:val="left"/>
    </w:pPr>
    <w:rPr>
      <w:rFonts w:ascii="Times New Roman" w:eastAsia="宋体" w:hAnsi="Times New Roman" w:cs="Times New Roman"/>
      <w:sz w:val="18"/>
      <w:szCs w:val="18"/>
    </w:rPr>
  </w:style>
  <w:style w:type="paragraph" w:styleId="Header">
    <w:name w:val="header"/>
    <w:basedOn w:val="Normal"/>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NormalWeb">
    <w:name w:val="Normal (Web)"/>
    <w:basedOn w:val="Normal"/>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大鱼</dc:creator>
  <cp:lastModifiedBy>大鱼</cp:lastModifiedBy>
  <cp:revision>1</cp:revision>
  <dcterms:created xsi:type="dcterms:W3CDTF">2021-07-28T07:06:00Z</dcterms:created>
  <dcterms:modified xsi:type="dcterms:W3CDTF">2021-07-28T07:19:40Z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AAB990DF98DD48F1A90D33FD9D880640</vt:lpwstr>
  </property>
  <property fmtid="{D5CDD505-2E9C-101B-9397-08002B2CF9AE}" pid="3" name="KSOProductBuildVer">
    <vt:lpwstr>2052-11.1.0.10667</vt:lpwstr>
  </property>
</Properties>
</file>