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TimesNewRoman"/>
          <w:sz w:val="32"/>
          <w:szCs w:val="32"/>
        </w:rPr>
      </w:pPr>
      <w:r>
        <w:rPr>
          <w:rFonts w:hint="eastAsia" w:ascii="黑体" w:hAnsi="黑体" w:eastAsia="黑体" w:cs="TimesNewRoman"/>
          <w:sz w:val="32"/>
          <w:szCs w:val="32"/>
          <w:lang w:val="en"/>
        </w:rPr>
        <w:t>附件</w:t>
      </w:r>
      <w:r>
        <w:rPr>
          <w:rFonts w:hint="eastAsia" w:ascii="黑体" w:hAnsi="黑体" w:eastAsia="黑体" w:cs="TimesNewRoman"/>
          <w:sz w:val="32"/>
          <w:szCs w:val="32"/>
        </w:rPr>
        <w:t>1</w:t>
      </w:r>
    </w:p>
    <w:p>
      <w:pPr>
        <w:spacing w:line="560" w:lineRule="exact"/>
        <w:rPr>
          <w:rFonts w:hint="eastAsia" w:ascii="TimesNewRoman" w:hAnsi="TimesNewRoman" w:eastAsia="黑体" w:cs="TimesNewRoman"/>
          <w:szCs w:val="32"/>
        </w:rPr>
      </w:pPr>
    </w:p>
    <w:p>
      <w:pPr>
        <w:spacing w:line="560" w:lineRule="exact"/>
        <w:jc w:val="center"/>
        <w:rPr>
          <w:rFonts w:hint="eastAsia" w:ascii="方正小标宋简体" w:hAnsi="方正小标宋简体" w:eastAsia="方正小标宋简体" w:cs="方正小标宋简体"/>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寿县</w:t>
      </w:r>
      <w:r>
        <w:rPr>
          <w:rFonts w:hint="eastAsia" w:ascii="方正小标宋简体" w:hAnsi="方正小标宋简体" w:eastAsia="方正小标宋简体" w:cs="方正小标宋简体"/>
          <w:sz w:val="44"/>
          <w:szCs w:val="44"/>
          <w:lang w:val="en-US" w:eastAsia="zh-CN"/>
        </w:rPr>
        <w:t>科学技术协会</w:t>
      </w:r>
      <w:r>
        <w:rPr>
          <w:rFonts w:hint="eastAsia" w:ascii="方正小标宋简体" w:hAnsi="方正小标宋简体" w:eastAsia="方正小标宋简体" w:cs="方正小标宋简体"/>
          <w:sz w:val="44"/>
          <w:szCs w:val="44"/>
        </w:rPr>
        <w:t>2024年</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部门预算</w:t>
      </w:r>
    </w:p>
    <w:p>
      <w:pPr>
        <w:pStyle w:val="3"/>
        <w:adjustRightInd w:val="0"/>
        <w:snapToGrid w:val="0"/>
        <w:spacing w:line="560" w:lineRule="exact"/>
        <w:jc w:val="center"/>
        <w:outlineLvl w:val="0"/>
        <w:rPr>
          <w:rFonts w:hint="eastAsia" w:ascii="方正小标宋_GBK" w:hAnsi="TimesNewRoman" w:eastAsia="方正小标宋_GBK" w:cs="TimesNewRoman"/>
          <w:sz w:val="32"/>
          <w:szCs w:val="32"/>
        </w:rPr>
      </w:pPr>
    </w:p>
    <w:p>
      <w:pPr>
        <w:pStyle w:val="3"/>
        <w:adjustRightInd w:val="0"/>
        <w:snapToGrid w:val="0"/>
        <w:spacing w:line="560" w:lineRule="exact"/>
        <w:jc w:val="center"/>
        <w:rPr>
          <w:rFonts w:ascii="TimesNewRoman" w:hAnsi="TimesNewRoman" w:eastAsia="黑体" w:cs="TimesNewRoman"/>
          <w:bCs/>
          <w:sz w:val="36"/>
          <w:szCs w:val="36"/>
        </w:rPr>
      </w:pPr>
    </w:p>
    <w:p>
      <w:pPr>
        <w:pStyle w:val="3"/>
        <w:adjustRightInd w:val="0"/>
        <w:snapToGrid w:val="0"/>
        <w:spacing w:line="560" w:lineRule="exact"/>
        <w:jc w:val="center"/>
        <w:rPr>
          <w:rFonts w:ascii="TimesNewRoman" w:hAnsi="TimesNewRoman" w:eastAsia="黑体" w:cs="TimesNewRoman"/>
          <w:bCs/>
          <w:sz w:val="36"/>
          <w:szCs w:val="36"/>
        </w:rPr>
      </w:pPr>
    </w:p>
    <w:p>
      <w:pPr>
        <w:pStyle w:val="3"/>
        <w:adjustRightInd w:val="0"/>
        <w:snapToGrid w:val="0"/>
        <w:spacing w:line="560" w:lineRule="exact"/>
        <w:jc w:val="center"/>
        <w:rPr>
          <w:rFonts w:ascii="TimesNewRoman" w:hAnsi="TimesNewRoman" w:eastAsia="黑体" w:cs="TimesNewRoman"/>
          <w:bCs/>
          <w:sz w:val="36"/>
          <w:szCs w:val="36"/>
        </w:rPr>
      </w:pPr>
    </w:p>
    <w:p>
      <w:pPr>
        <w:pStyle w:val="3"/>
        <w:adjustRightInd w:val="0"/>
        <w:snapToGrid w:val="0"/>
        <w:spacing w:line="560" w:lineRule="exact"/>
        <w:jc w:val="center"/>
        <w:rPr>
          <w:rFonts w:ascii="TimesNewRoman" w:hAnsi="TimesNewRoman" w:eastAsia="黑体" w:cs="TimesNewRoman"/>
          <w:bCs/>
          <w:sz w:val="36"/>
          <w:szCs w:val="36"/>
        </w:rPr>
      </w:pPr>
    </w:p>
    <w:p>
      <w:pPr>
        <w:pStyle w:val="3"/>
        <w:adjustRightInd w:val="0"/>
        <w:snapToGrid w:val="0"/>
        <w:spacing w:line="560" w:lineRule="exact"/>
        <w:jc w:val="center"/>
        <w:rPr>
          <w:rFonts w:ascii="TimesNewRoman" w:hAnsi="TimesNewRoman" w:eastAsia="黑体" w:cs="TimesNewRoman"/>
          <w:bCs/>
          <w:sz w:val="36"/>
          <w:szCs w:val="36"/>
        </w:rPr>
      </w:pPr>
    </w:p>
    <w:p>
      <w:pPr>
        <w:pStyle w:val="3"/>
        <w:adjustRightInd w:val="0"/>
        <w:snapToGrid w:val="0"/>
        <w:spacing w:line="560" w:lineRule="exact"/>
        <w:jc w:val="center"/>
        <w:rPr>
          <w:rFonts w:ascii="TimesNewRoman" w:hAnsi="TimesNewRoman" w:eastAsia="黑体" w:cs="TimesNewRoman"/>
          <w:bCs/>
          <w:sz w:val="36"/>
          <w:szCs w:val="36"/>
        </w:rPr>
      </w:pPr>
    </w:p>
    <w:p>
      <w:pPr>
        <w:pStyle w:val="3"/>
        <w:adjustRightInd w:val="0"/>
        <w:snapToGrid w:val="0"/>
        <w:spacing w:line="560" w:lineRule="exact"/>
        <w:jc w:val="center"/>
        <w:rPr>
          <w:rFonts w:hint="eastAsia" w:ascii="TimesNewRoman" w:hAnsi="TimesNewRoman" w:eastAsia="黑体" w:cs="TimesNewRoman"/>
          <w:bCs/>
          <w:sz w:val="36"/>
          <w:szCs w:val="36"/>
        </w:rPr>
      </w:pPr>
    </w:p>
    <w:p>
      <w:pPr>
        <w:pStyle w:val="3"/>
        <w:adjustRightInd w:val="0"/>
        <w:snapToGrid w:val="0"/>
        <w:spacing w:line="560" w:lineRule="exact"/>
        <w:jc w:val="center"/>
        <w:rPr>
          <w:rFonts w:ascii="TimesNewRoman" w:hAnsi="TimesNewRoman" w:eastAsia="黑体" w:cs="TimesNewRoman"/>
          <w:bCs/>
          <w:sz w:val="32"/>
          <w:szCs w:val="32"/>
        </w:rPr>
      </w:pPr>
    </w:p>
    <w:p>
      <w:pPr>
        <w:pStyle w:val="3"/>
        <w:adjustRightInd w:val="0"/>
        <w:snapToGrid w:val="0"/>
        <w:spacing w:line="560" w:lineRule="exact"/>
        <w:jc w:val="center"/>
        <w:rPr>
          <w:rFonts w:hint="eastAsia" w:ascii="仿宋_GB2312" w:hAnsi="TimesNewRoman" w:eastAsia="仿宋_GB2312" w:cs="TimesNewRoman"/>
          <w:bCs/>
          <w:sz w:val="32"/>
          <w:szCs w:val="32"/>
        </w:rPr>
      </w:pPr>
    </w:p>
    <w:p>
      <w:pPr>
        <w:pStyle w:val="3"/>
        <w:adjustRightInd w:val="0"/>
        <w:snapToGrid w:val="0"/>
        <w:spacing w:line="560" w:lineRule="exact"/>
        <w:jc w:val="center"/>
        <w:rPr>
          <w:rFonts w:hint="eastAsia" w:ascii="仿宋_GB2312" w:hAnsi="TimesNewRoman" w:eastAsia="仿宋_GB2312" w:cs="TimesNewRoman"/>
          <w:bCs/>
          <w:sz w:val="36"/>
          <w:szCs w:val="32"/>
        </w:rPr>
      </w:pPr>
      <w:r>
        <w:rPr>
          <w:rFonts w:hint="eastAsia" w:ascii="仿宋_GB2312" w:hAnsi="TimesNewRoman" w:eastAsia="仿宋_GB2312" w:cs="TimesNewRoman"/>
          <w:bCs/>
          <w:sz w:val="36"/>
          <w:szCs w:val="32"/>
        </w:rPr>
        <w:t>2024年</w:t>
      </w:r>
      <w:r>
        <w:rPr>
          <w:rFonts w:hint="eastAsia" w:ascii="仿宋_GB2312" w:hAnsi="TimesNewRoman" w:eastAsia="仿宋_GB2312" w:cs="TimesNewRoman"/>
          <w:bCs/>
          <w:sz w:val="36"/>
          <w:szCs w:val="32"/>
          <w:lang w:val="en-US" w:eastAsia="zh-CN"/>
        </w:rPr>
        <w:t>1</w:t>
      </w:r>
      <w:r>
        <w:rPr>
          <w:rFonts w:hint="eastAsia" w:ascii="仿宋_GB2312" w:hAnsi="TimesNewRoman" w:eastAsia="仿宋_GB2312" w:cs="TimesNewRoman"/>
          <w:bCs/>
          <w:sz w:val="36"/>
          <w:szCs w:val="32"/>
        </w:rPr>
        <w:t>月</w:t>
      </w:r>
    </w:p>
    <w:p>
      <w:pPr>
        <w:pStyle w:val="3"/>
        <w:adjustRightInd w:val="0"/>
        <w:snapToGrid w:val="0"/>
        <w:spacing w:line="560" w:lineRule="exact"/>
        <w:jc w:val="center"/>
        <w:rPr>
          <w:rFonts w:hint="eastAsia" w:ascii="方正小标宋_GBK" w:hAnsi="TimesNewRoman" w:eastAsia="方正小标宋_GBK" w:cs="TimesNewRoman"/>
          <w:bCs/>
          <w:sz w:val="44"/>
          <w:szCs w:val="44"/>
        </w:rPr>
      </w:pPr>
      <w:r>
        <w:rPr>
          <w:rFonts w:hint="eastAsia" w:ascii="方正小标宋_GBK" w:hAnsi="TimesNewRoman" w:eastAsia="方正小标宋_GBK" w:cs="TimesNewRoman"/>
          <w:bCs/>
          <w:sz w:val="44"/>
          <w:szCs w:val="44"/>
        </w:rPr>
        <w:t>目  录</w:t>
      </w:r>
    </w:p>
    <w:p>
      <w:pPr>
        <w:pStyle w:val="3"/>
        <w:topLinePunct/>
        <w:adjustRightInd w:val="0"/>
        <w:snapToGrid w:val="0"/>
        <w:spacing w:beforeAutospacing="0" w:afterAutospacing="0" w:line="560" w:lineRule="exact"/>
        <w:ind w:firstLine="640" w:firstLineChars="200"/>
        <w:jc w:val="both"/>
        <w:rPr>
          <w:rFonts w:ascii="黑体" w:hAnsi="黑体" w:eastAsia="黑体" w:cs="TimesNewRoman"/>
          <w:sz w:val="32"/>
          <w:szCs w:val="32"/>
        </w:rPr>
      </w:pPr>
    </w:p>
    <w:p>
      <w:pPr>
        <w:pStyle w:val="3"/>
        <w:topLinePunct/>
        <w:adjustRightInd w:val="0"/>
        <w:snapToGrid w:val="0"/>
        <w:spacing w:beforeAutospacing="0" w:afterAutospacing="0" w:line="560" w:lineRule="exact"/>
        <w:ind w:firstLine="640" w:firstLineChars="200"/>
        <w:jc w:val="both"/>
        <w:rPr>
          <w:rFonts w:ascii="黑体" w:hAnsi="黑体" w:eastAsia="黑体" w:cs="TimesNewRoman"/>
          <w:sz w:val="32"/>
          <w:szCs w:val="32"/>
        </w:rPr>
      </w:pPr>
      <w:r>
        <w:rPr>
          <w:rFonts w:ascii="黑体" w:hAnsi="黑体" w:eastAsia="黑体" w:cs="TimesNewRoman"/>
          <w:sz w:val="32"/>
          <w:szCs w:val="32"/>
        </w:rPr>
        <w:t>第一部分 部门概况</w:t>
      </w:r>
    </w:p>
    <w:p>
      <w:pPr>
        <w:pStyle w:val="3"/>
        <w:topLinePunct/>
        <w:adjustRightInd w:val="0"/>
        <w:snapToGrid w:val="0"/>
        <w:spacing w:beforeAutospacing="0" w:afterAutospacing="0" w:line="560" w:lineRule="exact"/>
        <w:ind w:firstLine="640" w:firstLineChars="200"/>
        <w:jc w:val="both"/>
        <w:rPr>
          <w:rFonts w:hint="eastAsia" w:ascii="仿宋_GB2312" w:hAnsi="TimesNewRoman" w:eastAsia="仿宋_GB2312" w:cs="TimesNewRoman"/>
          <w:bCs/>
          <w:sz w:val="32"/>
          <w:szCs w:val="32"/>
        </w:rPr>
      </w:pPr>
      <w:r>
        <w:rPr>
          <w:rFonts w:hint="eastAsia" w:ascii="仿宋_GB2312" w:hAnsi="TimesNewRoman" w:eastAsia="仿宋_GB2312" w:cs="TimesNewRoman"/>
          <w:bCs/>
          <w:sz w:val="32"/>
          <w:szCs w:val="32"/>
        </w:rPr>
        <w:t>1.主要职责</w:t>
      </w:r>
    </w:p>
    <w:p>
      <w:pPr>
        <w:pStyle w:val="3"/>
        <w:topLinePunct/>
        <w:adjustRightInd w:val="0"/>
        <w:snapToGrid w:val="0"/>
        <w:spacing w:beforeAutospacing="0" w:afterAutospacing="0" w:line="560" w:lineRule="exact"/>
        <w:ind w:firstLine="640" w:firstLineChars="200"/>
        <w:jc w:val="both"/>
        <w:rPr>
          <w:rFonts w:hint="eastAsia" w:ascii="仿宋_GB2312" w:hAnsi="TimesNewRoman" w:eastAsia="仿宋_GB2312" w:cs="TimesNewRoman"/>
          <w:bCs/>
          <w:sz w:val="32"/>
          <w:szCs w:val="32"/>
        </w:rPr>
      </w:pPr>
      <w:r>
        <w:rPr>
          <w:rFonts w:hint="eastAsia" w:ascii="仿宋_GB2312" w:hAnsi="TimesNewRoman" w:eastAsia="仿宋_GB2312" w:cs="TimesNewRoman"/>
          <w:bCs/>
          <w:sz w:val="32"/>
          <w:szCs w:val="32"/>
        </w:rPr>
        <w:t>2.部门预算构成</w:t>
      </w:r>
    </w:p>
    <w:p>
      <w:pPr>
        <w:pStyle w:val="3"/>
        <w:topLinePunct/>
        <w:adjustRightInd w:val="0"/>
        <w:snapToGrid w:val="0"/>
        <w:spacing w:beforeAutospacing="0" w:afterAutospacing="0" w:line="560" w:lineRule="exact"/>
        <w:ind w:firstLine="640" w:firstLineChars="200"/>
        <w:jc w:val="both"/>
        <w:rPr>
          <w:rFonts w:hint="eastAsia" w:ascii="仿宋_GB2312" w:hAnsi="TimesNewRoman" w:eastAsia="仿宋_GB2312" w:cs="TimesNewRoman"/>
          <w:bCs/>
          <w:sz w:val="32"/>
          <w:szCs w:val="32"/>
        </w:rPr>
      </w:pPr>
      <w:r>
        <w:rPr>
          <w:rFonts w:hint="eastAsia" w:ascii="仿宋_GB2312" w:hAnsi="TimesNewRoman" w:eastAsia="仿宋_GB2312" w:cs="TimesNewRoman"/>
          <w:bCs/>
          <w:sz w:val="32"/>
          <w:szCs w:val="32"/>
        </w:rPr>
        <w:t>3.2024年度主要工作任务</w:t>
      </w:r>
    </w:p>
    <w:p>
      <w:pPr>
        <w:pStyle w:val="3"/>
        <w:topLinePunct/>
        <w:adjustRightInd w:val="0"/>
        <w:snapToGrid w:val="0"/>
        <w:spacing w:beforeAutospacing="0" w:afterAutospacing="0" w:line="560" w:lineRule="exact"/>
        <w:ind w:firstLine="640" w:firstLineChars="200"/>
        <w:jc w:val="both"/>
        <w:rPr>
          <w:rFonts w:ascii="黑体" w:hAnsi="黑体" w:eastAsia="黑体" w:cs="TimesNewRoman"/>
          <w:sz w:val="32"/>
          <w:szCs w:val="32"/>
        </w:rPr>
      </w:pPr>
      <w:r>
        <w:rPr>
          <w:rFonts w:ascii="黑体" w:hAnsi="黑体" w:eastAsia="黑体" w:cs="TimesNewRoman"/>
          <w:sz w:val="32"/>
          <w:szCs w:val="32"/>
        </w:rPr>
        <w:t xml:space="preserve">第二部分 </w:t>
      </w:r>
      <w:r>
        <w:rPr>
          <w:rFonts w:hint="eastAsia" w:ascii="黑体" w:hAnsi="黑体" w:eastAsia="黑体" w:cs="TimesNewRoman"/>
          <w:sz w:val="32"/>
          <w:szCs w:val="32"/>
        </w:rPr>
        <w:t>2024</w:t>
      </w:r>
      <w:r>
        <w:rPr>
          <w:rFonts w:ascii="黑体" w:hAnsi="黑体" w:eastAsia="黑体" w:cs="TimesNewRoman"/>
          <w:sz w:val="32"/>
          <w:szCs w:val="32"/>
        </w:rPr>
        <w:t>年部门预算表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年收支总表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2.</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年收入总表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3.</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年支出总表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4.</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年财政拨款收支总表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5.</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年一般公共预算支出表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6.</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年一般公共预算基本支出表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7.</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年政府性基金预算支出表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8.</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年国有资本经营预算支出表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9.</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年项目支出表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10.</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年政府采购支出表</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11.</w:t>
      </w:r>
      <w:r>
        <w:rPr>
          <w:rFonts w:hint="eastAsia" w:ascii="仿宋_GB2312" w:hAnsi="TimesNewRoman" w:eastAsia="仿宋_GB2312" w:cs="TimesNewRoman"/>
          <w:bCs/>
          <w:sz w:val="32"/>
          <w:szCs w:val="32"/>
          <w:lang w:eastAsia="zh-CN"/>
        </w:rPr>
        <w:t>寿县科学技术协会</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年政府购买服务支出表</w:t>
      </w:r>
    </w:p>
    <w:p>
      <w:pPr>
        <w:pStyle w:val="3"/>
        <w:topLinePunct/>
        <w:adjustRightInd w:val="0"/>
        <w:snapToGrid w:val="0"/>
        <w:spacing w:beforeAutospacing="0" w:afterAutospacing="0" w:line="560" w:lineRule="exact"/>
        <w:ind w:firstLine="640" w:firstLineChars="200"/>
        <w:jc w:val="both"/>
        <w:rPr>
          <w:rFonts w:ascii="黑体" w:hAnsi="黑体" w:eastAsia="黑体" w:cs="TimesNewRoman"/>
          <w:sz w:val="32"/>
          <w:szCs w:val="32"/>
        </w:rPr>
      </w:pPr>
      <w:r>
        <w:rPr>
          <w:rFonts w:ascii="黑体" w:hAnsi="黑体" w:eastAsia="黑体" w:cs="TimesNewRoman"/>
          <w:sz w:val="32"/>
          <w:szCs w:val="32"/>
        </w:rPr>
        <w:t xml:space="preserve">第三部分 </w:t>
      </w:r>
      <w:r>
        <w:rPr>
          <w:rFonts w:hint="eastAsia" w:ascii="黑体" w:hAnsi="黑体" w:eastAsia="黑体" w:cs="TimesNewRoman"/>
          <w:sz w:val="32"/>
          <w:szCs w:val="32"/>
        </w:rPr>
        <w:t>2024</w:t>
      </w:r>
      <w:r>
        <w:rPr>
          <w:rFonts w:ascii="黑体" w:hAnsi="黑体" w:eastAsia="黑体" w:cs="TimesNewRoman"/>
          <w:sz w:val="32"/>
          <w:szCs w:val="32"/>
        </w:rPr>
        <w:t>年部门预算情况说明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年收支总表的说明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2.关于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年收入总表的说明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3.关于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年支出总表的说明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4.关于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年财政拨款收支总表的说明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5.关于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年一般公共预算支出表的说明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6.关于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年一般公共预算基本支出表的说明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7.关于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年政府性基金预算支出表的说明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8.关于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年国有资本经营预算支出表的说明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9.关于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年项目支出表的说明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10.关于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年政府采购支出表的说明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11.关于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年政府购买服务支出表的说明</w:t>
      </w:r>
    </w:p>
    <w:p>
      <w:pPr>
        <w:pStyle w:val="3"/>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12.其他重要事项情况说明</w:t>
      </w:r>
    </w:p>
    <w:p>
      <w:pPr>
        <w:pStyle w:val="3"/>
        <w:topLinePunct/>
        <w:adjustRightInd w:val="0"/>
        <w:snapToGrid w:val="0"/>
        <w:spacing w:beforeAutospacing="0" w:afterAutospacing="0" w:line="560" w:lineRule="exact"/>
        <w:ind w:firstLine="640" w:firstLineChars="200"/>
        <w:jc w:val="both"/>
        <w:rPr>
          <w:rFonts w:ascii="黑体" w:hAnsi="黑体" w:eastAsia="黑体" w:cs="TimesNewRoman"/>
          <w:sz w:val="32"/>
          <w:szCs w:val="32"/>
        </w:rPr>
      </w:pPr>
      <w:r>
        <w:rPr>
          <w:rFonts w:ascii="黑体" w:hAnsi="黑体" w:eastAsia="黑体" w:cs="TimesNewRoman"/>
          <w:sz w:val="32"/>
          <w:szCs w:val="32"/>
        </w:rPr>
        <w:t>第四部分 名词解释</w:t>
      </w:r>
    </w:p>
    <w:p>
      <w:pPr>
        <w:pStyle w:val="3"/>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3"/>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3"/>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3"/>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3"/>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3"/>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3"/>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3"/>
        <w:topLinePunct/>
        <w:adjustRightInd w:val="0"/>
        <w:snapToGrid w:val="0"/>
        <w:spacing w:beforeAutospacing="0" w:afterAutospacing="0" w:line="560" w:lineRule="exact"/>
        <w:ind w:firstLine="200"/>
        <w:jc w:val="both"/>
        <w:rPr>
          <w:rFonts w:ascii="TimesNewRoman" w:hAnsi="TimesNewRoman" w:eastAsia="黑体" w:cs="TimesNewRoman"/>
          <w:bCs/>
          <w:sz w:val="36"/>
          <w:szCs w:val="36"/>
        </w:rPr>
      </w:pPr>
    </w:p>
    <w:p>
      <w:pPr>
        <w:pStyle w:val="3"/>
        <w:topLinePunct/>
        <w:adjustRightInd w:val="0"/>
        <w:snapToGrid w:val="0"/>
        <w:spacing w:beforeAutospacing="0" w:afterAutospacing="0" w:line="560" w:lineRule="exact"/>
        <w:ind w:firstLine="200"/>
        <w:jc w:val="both"/>
        <w:rPr>
          <w:rFonts w:ascii="TimesNewRoman" w:hAnsi="TimesNewRoman" w:eastAsia="黑体" w:cs="TimesNewRoman"/>
          <w:bCs/>
          <w:sz w:val="36"/>
          <w:szCs w:val="36"/>
        </w:rPr>
      </w:pPr>
    </w:p>
    <w:p>
      <w:pPr>
        <w:pStyle w:val="3"/>
        <w:topLinePunct/>
        <w:adjustRightInd w:val="0"/>
        <w:snapToGrid w:val="0"/>
        <w:spacing w:beforeAutospacing="0" w:afterAutospacing="0" w:line="560" w:lineRule="exact"/>
        <w:ind w:firstLine="200"/>
        <w:jc w:val="both"/>
        <w:rPr>
          <w:rFonts w:ascii="TimesNewRoman" w:hAnsi="TimesNewRoman" w:eastAsia="黑体" w:cs="TimesNewRoman"/>
          <w:bCs/>
          <w:sz w:val="36"/>
          <w:szCs w:val="36"/>
        </w:rPr>
      </w:pPr>
    </w:p>
    <w:p>
      <w:pPr>
        <w:pStyle w:val="3"/>
        <w:topLinePunct/>
        <w:adjustRightInd w:val="0"/>
        <w:snapToGrid w:val="0"/>
        <w:spacing w:beforeAutospacing="0" w:afterAutospacing="0" w:line="560" w:lineRule="exact"/>
        <w:ind w:firstLine="200"/>
        <w:jc w:val="both"/>
        <w:rPr>
          <w:rFonts w:ascii="TimesNewRoman" w:hAnsi="TimesNewRoman" w:eastAsia="黑体" w:cs="TimesNewRoman"/>
          <w:bCs/>
          <w:sz w:val="36"/>
          <w:szCs w:val="36"/>
        </w:rPr>
      </w:pPr>
    </w:p>
    <w:p>
      <w:pPr>
        <w:pStyle w:val="3"/>
        <w:topLinePunct/>
        <w:adjustRightInd w:val="0"/>
        <w:snapToGrid w:val="0"/>
        <w:spacing w:beforeAutospacing="0" w:afterAutospacing="0" w:line="560" w:lineRule="exact"/>
        <w:ind w:firstLine="200"/>
        <w:jc w:val="both"/>
        <w:rPr>
          <w:rFonts w:ascii="TimesNewRoman" w:hAnsi="TimesNewRoman" w:eastAsia="黑体" w:cs="TimesNewRoman"/>
          <w:bCs/>
          <w:sz w:val="36"/>
          <w:szCs w:val="36"/>
        </w:rPr>
      </w:pPr>
    </w:p>
    <w:p>
      <w:pPr>
        <w:pStyle w:val="3"/>
        <w:topLinePunct/>
        <w:adjustRightInd w:val="0"/>
        <w:snapToGrid w:val="0"/>
        <w:spacing w:beforeAutospacing="0" w:afterAutospacing="0" w:line="560" w:lineRule="exact"/>
        <w:jc w:val="center"/>
        <w:rPr>
          <w:rFonts w:ascii="TimesNewRoman" w:hAnsi="TimesNewRoman" w:eastAsia="黑体" w:cs="TimesNewRoman"/>
          <w:bCs/>
          <w:sz w:val="36"/>
          <w:szCs w:val="36"/>
        </w:rPr>
      </w:pPr>
      <w:r>
        <w:rPr>
          <w:rFonts w:ascii="TimesNewRoman" w:hAnsi="TimesNewRoman" w:eastAsia="黑体" w:cs="TimesNewRoman"/>
          <w:bCs/>
          <w:sz w:val="36"/>
          <w:szCs w:val="36"/>
        </w:rPr>
        <w:t xml:space="preserve">第一部分 </w:t>
      </w:r>
      <w:r>
        <w:rPr>
          <w:rFonts w:hint="eastAsia" w:ascii="TimesNewRoman" w:hAnsi="TimesNewRoman" w:eastAsia="黑体" w:cs="TimesNewRoman"/>
          <w:bCs/>
          <w:sz w:val="36"/>
          <w:szCs w:val="36"/>
          <w:lang w:eastAsia="zh-CN"/>
        </w:rPr>
        <w:t>部门</w:t>
      </w:r>
      <w:r>
        <w:rPr>
          <w:rFonts w:ascii="TimesNewRoman" w:hAnsi="TimesNewRoman" w:eastAsia="黑体" w:cs="TimesNewRoman"/>
          <w:bCs/>
          <w:sz w:val="36"/>
          <w:szCs w:val="36"/>
        </w:rPr>
        <w:t>概况</w:t>
      </w:r>
    </w:p>
    <w:p>
      <w:pPr>
        <w:pStyle w:val="3"/>
        <w:topLinePunct/>
        <w:adjustRightInd w:val="0"/>
        <w:snapToGrid w:val="0"/>
        <w:spacing w:beforeAutospacing="0" w:afterAutospacing="0" w:line="560" w:lineRule="exact"/>
        <w:ind w:firstLine="627" w:firstLineChars="196"/>
        <w:jc w:val="both"/>
        <w:rPr>
          <w:rFonts w:ascii="TimesNewRoman" w:hAnsi="TimesNewRoman" w:eastAsia="黑体" w:cs="TimesNewRoman"/>
          <w:bCs/>
          <w:sz w:val="32"/>
          <w:szCs w:val="32"/>
        </w:rPr>
      </w:pPr>
    </w:p>
    <w:p>
      <w:pPr>
        <w:pStyle w:val="3"/>
        <w:topLinePunct/>
        <w:adjustRightInd w:val="0"/>
        <w:snapToGrid w:val="0"/>
        <w:spacing w:beforeAutospacing="0" w:afterAutospacing="0" w:line="580" w:lineRule="exact"/>
        <w:ind w:firstLine="640" w:firstLineChars="200"/>
        <w:jc w:val="both"/>
        <w:rPr>
          <w:rFonts w:hint="eastAsia" w:ascii="楷体_GB2312" w:hAnsi="TimesNewRoman" w:eastAsia="楷体_GB2312" w:cs="TimesNewRoman"/>
          <w:b/>
          <w:bCs/>
          <w:sz w:val="32"/>
          <w:szCs w:val="32"/>
        </w:rPr>
      </w:pPr>
      <w:r>
        <w:rPr>
          <w:rFonts w:hint="eastAsia" w:ascii="楷体_GB2312" w:hAnsi="TimesNewRoman" w:eastAsia="楷体_GB2312" w:cs="TimesNewRoman"/>
          <w:b/>
          <w:bCs/>
          <w:sz w:val="32"/>
          <w:szCs w:val="32"/>
        </w:rPr>
        <w:t>一、主要职责</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开展学术交流，活跃学术思想，繁荣学术园地，促进学科发展、知识创新。</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eastAsia="zh-CN"/>
        </w:rPr>
        <w:t>.</w:t>
      </w:r>
      <w:r>
        <w:rPr>
          <w:rFonts w:hint="eastAsia" w:ascii="仿宋" w:hAnsi="仿宋" w:eastAsia="仿宋"/>
          <w:sz w:val="32"/>
          <w:szCs w:val="32"/>
        </w:rPr>
        <w:t>弘扬科学精神，普及科学知识，传播科学思想和方法，捍卫科学尊严，推广先进技术，开展青少年科技教育活动，提高全民族科学素质。</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lang w:eastAsia="zh-CN"/>
        </w:rPr>
        <w:t>.</w:t>
      </w:r>
      <w:r>
        <w:rPr>
          <w:rFonts w:hint="eastAsia" w:ascii="仿宋" w:hAnsi="仿宋" w:eastAsia="仿宋"/>
          <w:sz w:val="32"/>
          <w:szCs w:val="32"/>
        </w:rPr>
        <w:t>反映科技工作者的意见和要求，维护合法权益；组织科技工作者参与科技政策的制定和政治协商、科学决策、民主监督工作，促进决策科学化、民主化。</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4</w:t>
      </w:r>
      <w:r>
        <w:rPr>
          <w:rFonts w:hint="eastAsia" w:ascii="仿宋" w:hAnsi="仿宋" w:eastAsia="仿宋"/>
          <w:sz w:val="32"/>
          <w:szCs w:val="32"/>
          <w:lang w:eastAsia="zh-CN"/>
        </w:rPr>
        <w:t>.</w:t>
      </w:r>
      <w:r>
        <w:rPr>
          <w:rFonts w:hint="eastAsia" w:ascii="仿宋" w:hAnsi="仿宋" w:eastAsia="仿宋"/>
          <w:sz w:val="32"/>
          <w:szCs w:val="32"/>
        </w:rPr>
        <w:t>表彰宣传优秀技术工作者、举荐人才。</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5</w:t>
      </w:r>
      <w:r>
        <w:rPr>
          <w:rFonts w:hint="eastAsia" w:ascii="仿宋" w:hAnsi="仿宋" w:eastAsia="仿宋"/>
          <w:sz w:val="32"/>
          <w:szCs w:val="32"/>
          <w:lang w:eastAsia="zh-CN"/>
        </w:rPr>
        <w:t>.</w:t>
      </w:r>
      <w:r>
        <w:rPr>
          <w:rFonts w:hint="eastAsia" w:ascii="仿宋" w:hAnsi="仿宋" w:eastAsia="仿宋"/>
          <w:sz w:val="32"/>
          <w:szCs w:val="32"/>
        </w:rPr>
        <w:t>开展科学论证、咨询服务，提出政策性建议；推动科技与经济结合，促进科技成果转化。</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6</w:t>
      </w:r>
      <w:r>
        <w:rPr>
          <w:rFonts w:hint="eastAsia" w:ascii="仿宋" w:hAnsi="仿宋" w:eastAsia="仿宋"/>
          <w:sz w:val="32"/>
          <w:szCs w:val="32"/>
          <w:lang w:eastAsia="zh-CN"/>
        </w:rPr>
        <w:t>.</w:t>
      </w:r>
      <w:r>
        <w:rPr>
          <w:rFonts w:hint="eastAsia" w:ascii="仿宋" w:hAnsi="仿宋" w:eastAsia="仿宋"/>
          <w:sz w:val="32"/>
          <w:szCs w:val="32"/>
        </w:rPr>
        <w:t>开展继续教育和培训工作，大力培养科技人才</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7</w:t>
      </w:r>
      <w:r>
        <w:rPr>
          <w:rFonts w:hint="eastAsia" w:ascii="仿宋" w:hAnsi="仿宋" w:eastAsia="仿宋"/>
          <w:sz w:val="32"/>
          <w:szCs w:val="32"/>
          <w:lang w:eastAsia="zh-CN"/>
        </w:rPr>
        <w:t>.</w:t>
      </w:r>
      <w:r>
        <w:rPr>
          <w:rFonts w:hint="eastAsia" w:ascii="仿宋" w:hAnsi="仿宋" w:eastAsia="仿宋"/>
          <w:sz w:val="32"/>
          <w:szCs w:val="32"/>
        </w:rPr>
        <w:t>管理所属学会，指导基层农技协开展活动。</w:t>
      </w: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8</w:t>
      </w:r>
      <w:r>
        <w:rPr>
          <w:rFonts w:hint="eastAsia" w:ascii="仿宋" w:hAnsi="仿宋" w:eastAsia="仿宋"/>
          <w:sz w:val="32"/>
          <w:szCs w:val="32"/>
          <w:lang w:eastAsia="zh-CN"/>
        </w:rPr>
        <w:t>.</w:t>
      </w:r>
      <w:r>
        <w:rPr>
          <w:rFonts w:hint="eastAsia" w:ascii="仿宋" w:hAnsi="仿宋" w:eastAsia="仿宋"/>
          <w:sz w:val="32"/>
          <w:szCs w:val="32"/>
        </w:rPr>
        <w:t>承办县委、县政府及省、市科协交办的其他事项。</w:t>
      </w:r>
    </w:p>
    <w:p>
      <w:pPr>
        <w:pStyle w:val="3"/>
        <w:adjustRightInd w:val="0"/>
        <w:snapToGrid w:val="0"/>
        <w:spacing w:before="0" w:beforeAutospacing="0" w:after="0" w:afterAutospacing="0" w:line="360" w:lineRule="auto"/>
        <w:ind w:firstLine="627" w:firstLineChars="196"/>
        <w:jc w:val="both"/>
        <w:rPr>
          <w:rFonts w:hint="eastAsia" w:ascii="仿宋_GB2312" w:hAnsi="黑体" w:eastAsia="仿宋_GB2312"/>
          <w:bCs/>
          <w:sz w:val="32"/>
          <w:szCs w:val="32"/>
        </w:rPr>
      </w:pPr>
      <w:r>
        <w:rPr>
          <w:rFonts w:hint="eastAsia" w:ascii="仿宋" w:hAnsi="仿宋" w:eastAsia="仿宋"/>
          <w:sz w:val="32"/>
          <w:szCs w:val="32"/>
        </w:rPr>
        <w:t>9</w:t>
      </w:r>
      <w:r>
        <w:rPr>
          <w:rFonts w:hint="eastAsia" w:ascii="仿宋" w:hAnsi="仿宋" w:eastAsia="仿宋"/>
          <w:sz w:val="32"/>
          <w:szCs w:val="32"/>
          <w:lang w:eastAsia="zh-CN"/>
        </w:rPr>
        <w:t>.</w:t>
      </w:r>
      <w:r>
        <w:rPr>
          <w:rFonts w:hint="eastAsia" w:ascii="仿宋" w:hAnsi="仿宋" w:eastAsia="仿宋"/>
          <w:sz w:val="32"/>
          <w:szCs w:val="32"/>
        </w:rPr>
        <w:t>承担县全民科学素质工作领导小组办公室工作。</w:t>
      </w:r>
    </w:p>
    <w:p>
      <w:pPr>
        <w:pStyle w:val="3"/>
        <w:topLinePunct/>
        <w:adjustRightInd w:val="0"/>
        <w:snapToGrid w:val="0"/>
        <w:spacing w:beforeAutospacing="0" w:afterAutospacing="0" w:line="580" w:lineRule="exact"/>
        <w:ind w:firstLine="640" w:firstLineChars="200"/>
        <w:jc w:val="both"/>
        <w:rPr>
          <w:rFonts w:ascii="楷体_GB2312" w:hAnsi="TimesNewRoman" w:eastAsia="楷体_GB2312" w:cs="TimesNewRoman"/>
          <w:b/>
          <w:bCs/>
          <w:sz w:val="32"/>
          <w:szCs w:val="32"/>
        </w:rPr>
      </w:pPr>
      <w:r>
        <w:rPr>
          <w:rFonts w:hint="eastAsia" w:ascii="楷体_GB2312" w:hAnsi="TimesNewRoman" w:eastAsia="楷体_GB2312" w:cs="TimesNewRoman"/>
          <w:b/>
          <w:bCs/>
          <w:sz w:val="32"/>
          <w:szCs w:val="32"/>
        </w:rPr>
        <w:t>二、</w:t>
      </w:r>
      <w:r>
        <w:rPr>
          <w:rFonts w:hint="eastAsia" w:ascii="楷体_GB2312" w:hAnsi="TimesNewRoman" w:eastAsia="楷体_GB2312" w:cs="TimesNewRoman"/>
          <w:b/>
          <w:bCs/>
          <w:sz w:val="32"/>
          <w:szCs w:val="32"/>
          <w:lang w:eastAsia="zh-CN"/>
        </w:rPr>
        <w:t>部门</w:t>
      </w:r>
      <w:r>
        <w:rPr>
          <w:rFonts w:ascii="楷体_GB2312" w:hAnsi="TimesNewRoman" w:eastAsia="楷体_GB2312" w:cs="TimesNewRoman"/>
          <w:b/>
          <w:bCs/>
          <w:sz w:val="32"/>
          <w:szCs w:val="32"/>
        </w:rPr>
        <w:t>预算构成</w:t>
      </w:r>
    </w:p>
    <w:p>
      <w:pPr>
        <w:pStyle w:val="3"/>
        <w:topLinePunct/>
        <w:adjustRightInd w:val="0"/>
        <w:snapToGrid w:val="0"/>
        <w:spacing w:beforeAutospacing="0" w:afterAutospacing="0" w:line="580" w:lineRule="exact"/>
        <w:ind w:firstLine="640" w:firstLineChars="200"/>
        <w:jc w:val="both"/>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从预算单位构成看，</w:t>
      </w:r>
      <w:r>
        <w:rPr>
          <w:rFonts w:hint="eastAsia" w:ascii="仿宋_GB2312" w:hAnsi="TimesNewRoman" w:eastAsia="仿宋_GB2312" w:cs="TimesNewRoman"/>
          <w:bCs/>
          <w:sz w:val="32"/>
          <w:szCs w:val="32"/>
        </w:rPr>
        <w:t>寿县</w:t>
      </w:r>
      <w:r>
        <w:rPr>
          <w:rFonts w:hint="eastAsia" w:ascii="仿宋_GB2312" w:hAnsi="TimesNewRoman" w:eastAsia="仿宋_GB2312" w:cs="TimesNewRoman"/>
          <w:bCs/>
          <w:sz w:val="32"/>
          <w:szCs w:val="32"/>
          <w:lang w:val="en-US" w:eastAsia="zh-CN"/>
        </w:rPr>
        <w:t>科学技术协会</w:t>
      </w:r>
      <w:r>
        <w:rPr>
          <w:rFonts w:hint="eastAsia" w:ascii="仿宋_GB2312" w:hAnsi="TimesNewRoman" w:eastAsia="仿宋_GB2312" w:cs="TimesNewRoman"/>
          <w:sz w:val="32"/>
          <w:szCs w:val="32"/>
        </w:rPr>
        <w:t>2024年度部门预算仅包括</w:t>
      </w:r>
      <w:r>
        <w:rPr>
          <w:rFonts w:hint="eastAsia" w:ascii="仿宋_GB2312" w:hAnsi="TimesNewRoman" w:eastAsia="仿宋_GB2312" w:cs="TimesNewRoman"/>
          <w:sz w:val="32"/>
          <w:szCs w:val="32"/>
          <w:lang w:val="en-US" w:eastAsia="zh-CN"/>
        </w:rPr>
        <w:t>县科协</w:t>
      </w:r>
      <w:r>
        <w:rPr>
          <w:rFonts w:hint="eastAsia" w:ascii="仿宋_GB2312" w:hAnsi="TimesNewRoman" w:eastAsia="仿宋_GB2312" w:cs="TimesNewRoman"/>
          <w:sz w:val="32"/>
          <w:szCs w:val="32"/>
        </w:rPr>
        <w:t>本级预算，无其他下属单位预算。</w:t>
      </w:r>
    </w:p>
    <w:p>
      <w:pPr>
        <w:pStyle w:val="3"/>
        <w:topLinePunct/>
        <w:adjustRightInd w:val="0"/>
        <w:snapToGrid w:val="0"/>
        <w:spacing w:beforeAutospacing="0" w:afterAutospacing="0" w:line="580" w:lineRule="exact"/>
        <w:ind w:firstLine="640" w:firstLineChars="200"/>
        <w:jc w:val="both"/>
        <w:rPr>
          <w:rFonts w:hint="eastAsia" w:ascii="楷体_GB2312" w:hAnsi="TimesNewRoman" w:eastAsia="楷体_GB2312" w:cs="TimesNewRoman"/>
          <w:b/>
          <w:bCs/>
          <w:sz w:val="32"/>
          <w:szCs w:val="32"/>
        </w:rPr>
      </w:pPr>
      <w:r>
        <w:rPr>
          <w:rFonts w:hint="eastAsia" w:ascii="楷体_GB2312" w:hAnsi="TimesNewRoman" w:eastAsia="楷体_GB2312" w:cs="TimesNewRoman"/>
          <w:b/>
          <w:bCs/>
          <w:sz w:val="32"/>
          <w:szCs w:val="32"/>
        </w:rPr>
        <w:t>三、2024年度主要工作任务</w:t>
      </w:r>
    </w:p>
    <w:p>
      <w:pPr>
        <w:spacing w:line="600" w:lineRule="exact"/>
        <w:ind w:firstLine="800" w:firstLineChars="250"/>
        <w:rPr>
          <w:rFonts w:hint="eastAsia" w:ascii="仿宋" w:hAnsi="仿宋" w:eastAsia="仿宋"/>
          <w:color w:val="000000"/>
          <w:sz w:val="32"/>
          <w:szCs w:val="32"/>
        </w:rPr>
      </w:pPr>
      <w:r>
        <w:rPr>
          <w:rFonts w:hint="eastAsia" w:ascii="仿宋" w:hAnsi="仿宋" w:eastAsia="仿宋"/>
          <w:color w:val="000000"/>
          <w:sz w:val="32"/>
          <w:szCs w:val="32"/>
        </w:rPr>
        <w:t>1</w:t>
      </w:r>
      <w:r>
        <w:rPr>
          <w:rFonts w:hint="eastAsia" w:ascii="仿宋" w:hAnsi="仿宋" w:eastAsia="仿宋"/>
          <w:color w:val="000000"/>
          <w:sz w:val="32"/>
          <w:szCs w:val="32"/>
          <w:lang w:eastAsia="zh-CN"/>
        </w:rPr>
        <w:t>.</w:t>
      </w:r>
      <w:r>
        <w:rPr>
          <w:rFonts w:hint="eastAsia" w:ascii="仿宋" w:hAnsi="仿宋" w:eastAsia="仿宋"/>
          <w:color w:val="000000"/>
          <w:sz w:val="32"/>
          <w:szCs w:val="32"/>
        </w:rPr>
        <w:t>加强科普队伍建设，致力于人才建设和全民科学素质提高工作。</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2</w:t>
      </w:r>
      <w:r>
        <w:rPr>
          <w:rFonts w:hint="eastAsia" w:ascii="仿宋" w:hAnsi="仿宋" w:eastAsia="仿宋"/>
          <w:color w:val="000000"/>
          <w:sz w:val="32"/>
          <w:szCs w:val="32"/>
          <w:lang w:eastAsia="zh-CN"/>
        </w:rPr>
        <w:t>.</w:t>
      </w:r>
      <w:r>
        <w:rPr>
          <w:rFonts w:hint="eastAsia" w:ascii="仿宋" w:hAnsi="仿宋" w:eastAsia="仿宋"/>
          <w:color w:val="000000"/>
          <w:sz w:val="32"/>
          <w:szCs w:val="32"/>
        </w:rPr>
        <w:t>建立学术交流、科普活动、创新发展等工作机制。</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3</w:t>
      </w:r>
      <w:r>
        <w:rPr>
          <w:rFonts w:hint="eastAsia" w:ascii="仿宋" w:hAnsi="仿宋" w:eastAsia="仿宋"/>
          <w:color w:val="000000"/>
          <w:sz w:val="32"/>
          <w:szCs w:val="32"/>
          <w:lang w:eastAsia="zh-CN"/>
        </w:rPr>
        <w:t>.</w:t>
      </w:r>
      <w:r>
        <w:rPr>
          <w:rFonts w:hint="eastAsia" w:ascii="仿宋" w:hAnsi="仿宋" w:eastAsia="仿宋"/>
          <w:color w:val="000000"/>
          <w:sz w:val="32"/>
          <w:szCs w:val="32"/>
        </w:rPr>
        <w:t>继续对乡镇科协业务工作加强培训，提升乡镇科协工作能力和水平。</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4</w:t>
      </w:r>
      <w:r>
        <w:rPr>
          <w:rFonts w:hint="eastAsia" w:ascii="仿宋" w:hAnsi="仿宋" w:eastAsia="仿宋"/>
          <w:color w:val="000000"/>
          <w:sz w:val="32"/>
          <w:szCs w:val="32"/>
          <w:lang w:eastAsia="zh-CN"/>
        </w:rPr>
        <w:t>.</w:t>
      </w:r>
      <w:r>
        <w:rPr>
          <w:rFonts w:hint="eastAsia" w:ascii="仿宋" w:hAnsi="仿宋" w:eastAsia="仿宋"/>
          <w:color w:val="000000"/>
          <w:sz w:val="32"/>
          <w:szCs w:val="32"/>
        </w:rPr>
        <w:t>鼓励扶持新建基层农技协，加强对基层农技协、县级学会的管理指导工作，为基层农技协申报、开发新的项目，为我县经济发展营造良好氛围。</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5</w:t>
      </w:r>
      <w:r>
        <w:rPr>
          <w:rFonts w:hint="eastAsia" w:ascii="仿宋" w:hAnsi="仿宋" w:eastAsia="仿宋"/>
          <w:color w:val="000000"/>
          <w:sz w:val="32"/>
          <w:szCs w:val="32"/>
          <w:lang w:eastAsia="zh-CN"/>
        </w:rPr>
        <w:t>.</w:t>
      </w:r>
      <w:r>
        <w:rPr>
          <w:rFonts w:hint="eastAsia" w:ascii="仿宋" w:hAnsi="仿宋" w:eastAsia="仿宋"/>
          <w:color w:val="000000"/>
          <w:sz w:val="32"/>
          <w:szCs w:val="32"/>
        </w:rPr>
        <w:t>进一步提升基层科普设施，科普阵地建设力度，加大对社区科普活动室、校建科技馆、科普橱窗、科普长廊等项目设施的经费投入，努力创建省示范农技协和省科普示范社区。</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6</w:t>
      </w:r>
      <w:r>
        <w:rPr>
          <w:rFonts w:hint="eastAsia" w:ascii="仿宋" w:hAnsi="仿宋" w:eastAsia="仿宋"/>
          <w:color w:val="000000"/>
          <w:sz w:val="32"/>
          <w:szCs w:val="32"/>
          <w:lang w:eastAsia="zh-CN"/>
        </w:rPr>
        <w:t>.</w:t>
      </w:r>
      <w:r>
        <w:rPr>
          <w:rFonts w:hint="eastAsia" w:ascii="仿宋" w:hAnsi="仿宋" w:eastAsia="仿宋"/>
          <w:color w:val="000000"/>
          <w:sz w:val="32"/>
          <w:szCs w:val="32"/>
        </w:rPr>
        <w:t>努力打造我县科普教育品牌，加大完善科学普及志愿服务队机制体制建设，申报科普教育基地，拓展我县科普教育阵地队伍建设途径。</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7</w:t>
      </w:r>
      <w:r>
        <w:rPr>
          <w:rFonts w:hint="eastAsia" w:ascii="仿宋" w:hAnsi="仿宋" w:eastAsia="仿宋"/>
          <w:color w:val="000000"/>
          <w:sz w:val="32"/>
          <w:szCs w:val="32"/>
          <w:lang w:eastAsia="zh-CN"/>
        </w:rPr>
        <w:t>.</w:t>
      </w:r>
      <w:r>
        <w:rPr>
          <w:rFonts w:hint="eastAsia" w:ascii="仿宋" w:hAnsi="仿宋" w:eastAsia="仿宋"/>
          <w:color w:val="000000"/>
          <w:sz w:val="32"/>
          <w:szCs w:val="32"/>
        </w:rPr>
        <w:t>创新科普宣传工作。充分利用寿州报、微信公众号、寿县手机台等媒体开展科普宣传，认真组织“科技活动周”、“科普日”等品牌科普活动。</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8</w:t>
      </w:r>
      <w:r>
        <w:rPr>
          <w:rFonts w:hint="eastAsia" w:ascii="仿宋" w:hAnsi="仿宋" w:eastAsia="仿宋"/>
          <w:color w:val="000000"/>
          <w:sz w:val="32"/>
          <w:szCs w:val="32"/>
          <w:lang w:eastAsia="zh-CN"/>
        </w:rPr>
        <w:t>.</w:t>
      </w:r>
      <w:r>
        <w:rPr>
          <w:rFonts w:hint="eastAsia" w:ascii="仿宋" w:hAnsi="仿宋" w:eastAsia="仿宋"/>
          <w:color w:val="000000"/>
          <w:sz w:val="32"/>
          <w:szCs w:val="32"/>
        </w:rPr>
        <w:t>开展好青少年科普教育工作，创新拓展青少年科普教育途径和形式，组织好科普大篷车全县巡展活动。</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9</w:t>
      </w:r>
      <w:r>
        <w:rPr>
          <w:rFonts w:hint="eastAsia" w:ascii="仿宋" w:hAnsi="仿宋" w:eastAsia="仿宋"/>
          <w:color w:val="000000"/>
          <w:sz w:val="32"/>
          <w:szCs w:val="32"/>
          <w:lang w:eastAsia="zh-CN"/>
        </w:rPr>
        <w:t>.</w:t>
      </w:r>
      <w:r>
        <w:rPr>
          <w:rFonts w:hint="eastAsia" w:ascii="仿宋" w:hAnsi="仿宋" w:eastAsia="仿宋"/>
          <w:color w:val="000000"/>
          <w:sz w:val="32"/>
          <w:szCs w:val="32"/>
        </w:rPr>
        <w:t>努力培育和发展一大批农技协、科普示范教育基地、科普示范社区、村、街道等，提升基层科协组织工作能力和水平。</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11</w:t>
      </w:r>
      <w:r>
        <w:rPr>
          <w:rFonts w:hint="eastAsia" w:ascii="仿宋" w:hAnsi="仿宋" w:eastAsia="仿宋"/>
          <w:color w:val="000000"/>
          <w:sz w:val="32"/>
          <w:szCs w:val="32"/>
          <w:lang w:eastAsia="zh-CN"/>
        </w:rPr>
        <w:t>.</w:t>
      </w:r>
      <w:r>
        <w:rPr>
          <w:rFonts w:hint="eastAsia" w:ascii="仿宋" w:hAnsi="仿宋" w:eastAsia="仿宋"/>
          <w:color w:val="000000"/>
          <w:sz w:val="32"/>
          <w:szCs w:val="32"/>
        </w:rPr>
        <w:t>积极推进县科技馆筹建工作。</w:t>
      </w: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adjustRightInd w:val="0"/>
        <w:snapToGrid w:val="0"/>
        <w:spacing w:line="560" w:lineRule="exact"/>
        <w:rPr>
          <w:rFonts w:ascii="TimesNewRoman" w:hAnsi="TimesNewRoman" w:eastAsia="黑体" w:cs="TimesNewRoman"/>
          <w:bCs/>
          <w:sz w:val="36"/>
          <w:szCs w:val="36"/>
        </w:rPr>
      </w:pPr>
    </w:p>
    <w:p>
      <w:pPr>
        <w:pStyle w:val="3"/>
        <w:topLinePunct/>
        <w:adjustRightInd w:val="0"/>
        <w:snapToGrid w:val="0"/>
        <w:spacing w:beforeAutospacing="0" w:afterAutospacing="0" w:line="560" w:lineRule="exact"/>
        <w:jc w:val="center"/>
        <w:rPr>
          <w:rFonts w:ascii="TimesNewRoman" w:hAnsi="TimesNewRoman" w:eastAsia="黑体" w:cs="TimesNewRoman"/>
          <w:bCs/>
          <w:sz w:val="36"/>
          <w:szCs w:val="36"/>
        </w:rPr>
      </w:pPr>
      <w:r>
        <w:rPr>
          <w:rFonts w:ascii="TimesNewRoman" w:hAnsi="TimesNewRoman" w:eastAsia="黑体" w:cs="TimesNewRoman"/>
          <w:bCs/>
          <w:sz w:val="36"/>
          <w:szCs w:val="36"/>
        </w:rPr>
        <w:t xml:space="preserve">第二部分 </w:t>
      </w:r>
      <w:r>
        <w:rPr>
          <w:rFonts w:hint="eastAsia" w:ascii="TimesNewRoman" w:hAnsi="TimesNewRoman" w:eastAsia="黑体" w:cs="TimesNewRoman"/>
          <w:bCs/>
          <w:sz w:val="36"/>
          <w:szCs w:val="36"/>
        </w:rPr>
        <w:t>2024</w:t>
      </w:r>
      <w:r>
        <w:rPr>
          <w:rFonts w:ascii="TimesNewRoman" w:hAnsi="TimesNewRoman" w:eastAsia="黑体" w:cs="TimesNewRoman"/>
          <w:bCs/>
          <w:sz w:val="36"/>
          <w:szCs w:val="36"/>
        </w:rPr>
        <w:t>年</w:t>
      </w:r>
      <w:r>
        <w:rPr>
          <w:rFonts w:hint="eastAsia" w:ascii="TimesNewRoman" w:hAnsi="TimesNewRoman" w:eastAsia="黑体" w:cs="TimesNewRoman"/>
          <w:bCs/>
          <w:sz w:val="36"/>
          <w:szCs w:val="36"/>
          <w:lang w:eastAsia="zh-CN"/>
        </w:rPr>
        <w:t>部门</w:t>
      </w:r>
      <w:r>
        <w:rPr>
          <w:rFonts w:ascii="TimesNewRoman" w:hAnsi="TimesNewRoman" w:eastAsia="黑体" w:cs="TimesNewRoman"/>
          <w:bCs/>
          <w:sz w:val="36"/>
          <w:szCs w:val="36"/>
        </w:rPr>
        <w:t>预算表</w:t>
      </w:r>
    </w:p>
    <w:p>
      <w:pPr>
        <w:spacing w:line="560" w:lineRule="exact"/>
        <w:ind w:firstLine="6600" w:firstLineChars="3300"/>
        <w:jc w:val="left"/>
        <w:rPr>
          <w:rFonts w:hint="eastAsia" w:ascii="TimesNewRoman" w:hAnsi="TimesNewRoman" w:cs="TimesNewRoman"/>
          <w:kern w:val="0"/>
          <w:sz w:val="20"/>
        </w:rPr>
      </w:pPr>
      <w:r>
        <w:rPr>
          <w:rFonts w:hint="eastAsia" w:ascii="TimesNewRoman" w:hAnsi="TimesNewRoman" w:cs="TimesNewRoman"/>
          <w:kern w:val="0"/>
          <w:sz w:val="20"/>
          <w:lang w:eastAsia="zh-CN"/>
        </w:rPr>
        <w:t>部门</w:t>
      </w:r>
      <w:r>
        <w:rPr>
          <w:rFonts w:ascii="TimesNewRoman" w:hAnsi="TimesNewRoman" w:cs="TimesNewRoman"/>
          <w:kern w:val="0"/>
          <w:sz w:val="20"/>
        </w:rPr>
        <w:t>公开表1</w:t>
      </w:r>
    </w:p>
    <w:p>
      <w:pPr>
        <w:spacing w:line="560" w:lineRule="exact"/>
        <w:jc w:val="center"/>
        <w:rPr>
          <w:rFonts w:ascii="宋体" w:hAnsi="宋体" w:cs="TimesNewRoman"/>
          <w:kern w:val="0"/>
          <w:sz w:val="24"/>
        </w:rPr>
      </w:pPr>
      <w:r>
        <w:rPr>
          <w:rFonts w:hint="eastAsia" w:ascii="宋体" w:hAnsi="宋体" w:cs="TimesNewRoman"/>
          <w:b/>
          <w:bCs/>
          <w:kern w:val="0"/>
          <w:sz w:val="28"/>
          <w:szCs w:val="32"/>
          <w:lang w:eastAsia="zh-CN"/>
        </w:rPr>
        <w:t>寿县科学技术协会</w:t>
      </w:r>
      <w:r>
        <w:rPr>
          <w:rFonts w:hint="eastAsia" w:ascii="宋体" w:hAnsi="宋体" w:cs="TimesNewRoman"/>
          <w:b/>
          <w:bCs/>
          <w:kern w:val="0"/>
          <w:sz w:val="28"/>
          <w:szCs w:val="32"/>
        </w:rPr>
        <w:t>2024</w:t>
      </w:r>
      <w:r>
        <w:rPr>
          <w:rFonts w:ascii="宋体" w:hAnsi="宋体" w:cs="TimesNewRoman"/>
          <w:b/>
          <w:bCs/>
          <w:kern w:val="0"/>
          <w:sz w:val="28"/>
          <w:szCs w:val="32"/>
        </w:rPr>
        <w:t>年收支总表</w:t>
      </w:r>
    </w:p>
    <w:p>
      <w:pPr>
        <w:spacing w:line="560" w:lineRule="exact"/>
        <w:rPr>
          <w:rFonts w:ascii="TimesNewRoman" w:hAnsi="TimesNewRoman" w:cs="TimesNewRoman"/>
          <w:kern w:val="0"/>
          <w:sz w:val="20"/>
        </w:rPr>
      </w:pPr>
      <w:r>
        <w:rPr>
          <w:rFonts w:ascii="TimesNewRoman" w:hAnsi="TimesNewRoman" w:cs="TimesNewRoman"/>
          <w:kern w:val="0"/>
          <w:sz w:val="20"/>
        </w:rPr>
        <w:t xml:space="preserve">                                                                          单位：万元</w:t>
      </w:r>
    </w:p>
    <w:tbl>
      <w:tblPr>
        <w:tblStyle w:val="4"/>
        <w:tblW w:w="9220" w:type="dxa"/>
        <w:tblInd w:w="0" w:type="dxa"/>
        <w:tblLayout w:type="fixed"/>
        <w:tblCellMar>
          <w:top w:w="0" w:type="dxa"/>
          <w:left w:w="108" w:type="dxa"/>
          <w:bottom w:w="0" w:type="dxa"/>
          <w:right w:w="108" w:type="dxa"/>
        </w:tblCellMar>
      </w:tblPr>
      <w:tblGrid>
        <w:gridCol w:w="3728"/>
        <w:gridCol w:w="1089"/>
        <w:gridCol w:w="3470"/>
        <w:gridCol w:w="933"/>
      </w:tblGrid>
      <w:tr>
        <w:tblPrEx>
          <w:tblLayout w:type="fixed"/>
          <w:tblCellMar>
            <w:top w:w="0" w:type="dxa"/>
            <w:left w:w="108" w:type="dxa"/>
            <w:bottom w:w="0" w:type="dxa"/>
            <w:right w:w="108" w:type="dxa"/>
          </w:tblCellMar>
        </w:tblPrEx>
        <w:trPr>
          <w:trHeight w:val="12" w:hRule="atLeast"/>
        </w:trPr>
        <w:tc>
          <w:tcPr>
            <w:tcW w:w="4817"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 xml:space="preserve">          收            入             </w:t>
            </w:r>
          </w:p>
        </w:tc>
        <w:tc>
          <w:tcPr>
            <w:tcW w:w="4403" w:type="dxa"/>
            <w:gridSpan w:val="2"/>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支          出</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收 入 项 目</w:t>
            </w:r>
          </w:p>
        </w:tc>
        <w:tc>
          <w:tcPr>
            <w:tcW w:w="1089" w:type="dxa"/>
            <w:tcBorders>
              <w:top w:val="nil"/>
              <w:left w:val="nil"/>
              <w:bottom w:val="nil"/>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预算数</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支出功能分类科目</w:t>
            </w:r>
          </w:p>
        </w:tc>
        <w:tc>
          <w:tcPr>
            <w:tcW w:w="933" w:type="dxa"/>
            <w:tcBorders>
              <w:top w:val="nil"/>
              <w:left w:val="nil"/>
              <w:bottom w:val="nil"/>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预算数</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一、一般公共预算拨款收入</w:t>
            </w:r>
          </w:p>
        </w:tc>
        <w:tc>
          <w:tcPr>
            <w:tcW w:w="1089"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hint="eastAsia" w:ascii="TimesNewRoman" w:hAnsi="TimesNewRoman" w:cs="TimesNewRoman"/>
                <w:kern w:val="0"/>
                <w:sz w:val="18"/>
                <w:szCs w:val="18"/>
                <w:lang w:val="en-US" w:eastAsia="zh-CN"/>
              </w:rPr>
              <w:t>124.74</w:t>
            </w: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一、一般公共服务支出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其中：中央转移支付收入</w:t>
            </w:r>
          </w:p>
        </w:tc>
        <w:tc>
          <w:tcPr>
            <w:tcW w:w="1089" w:type="dxa"/>
            <w:tcBorders>
              <w:top w:val="nil"/>
              <w:left w:val="single" w:color="auto" w:sz="4" w:space="0"/>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二、外交支出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single" w:color="auto" w:sz="4" w:space="0"/>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三、国防支出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二、政府性基金预算拨款收入</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四、公共安全支出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其中：中央转移支付收入</w:t>
            </w:r>
          </w:p>
        </w:tc>
        <w:tc>
          <w:tcPr>
            <w:tcW w:w="1089" w:type="dxa"/>
            <w:tcBorders>
              <w:top w:val="nil"/>
              <w:left w:val="single" w:color="auto" w:sz="4" w:space="0"/>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五、教育支出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single" w:color="auto" w:sz="4" w:space="0"/>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六、科学技术支出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hint="eastAsia" w:ascii="TimesNewRoman" w:hAnsi="TimesNewRoman" w:cs="TimesNewRoman"/>
                <w:kern w:val="0"/>
                <w:sz w:val="18"/>
                <w:szCs w:val="18"/>
                <w:lang w:val="en-US" w:eastAsia="zh-CN"/>
              </w:rPr>
              <w:t>90.91</w:t>
            </w: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rPr>
                <w:rFonts w:ascii="TimesNewRoman" w:hAnsi="TimesNewRoman" w:cs="TimesNewRoman"/>
                <w:kern w:val="0"/>
                <w:sz w:val="18"/>
                <w:szCs w:val="18"/>
              </w:rPr>
            </w:pPr>
            <w:r>
              <w:rPr>
                <w:rFonts w:ascii="TimesNewRoman" w:hAnsi="TimesNewRoman" w:cs="TimesNewRoman"/>
                <w:kern w:val="0"/>
                <w:sz w:val="18"/>
                <w:szCs w:val="18"/>
              </w:rPr>
              <w:t>三、国有资本经营预算拨款收入</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七、文化旅游体育与传媒支出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其中：中央转移支付收入</w:t>
            </w:r>
          </w:p>
        </w:tc>
        <w:tc>
          <w:tcPr>
            <w:tcW w:w="1089" w:type="dxa"/>
            <w:tcBorders>
              <w:top w:val="nil"/>
              <w:left w:val="single" w:color="auto" w:sz="4" w:space="0"/>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八、社会保障和就业支出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hint="eastAsia" w:ascii="TimesNewRoman" w:hAnsi="TimesNewRoman" w:cs="TimesNewRoman"/>
                <w:kern w:val="0"/>
                <w:sz w:val="18"/>
                <w:szCs w:val="18"/>
                <w:lang w:val="en-US" w:eastAsia="zh-CN"/>
              </w:rPr>
              <w:t>25.52</w:t>
            </w: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single" w:color="auto" w:sz="4" w:space="0"/>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九、卫生健康支出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hint="eastAsia" w:ascii="TimesNewRoman" w:hAnsi="TimesNewRoman" w:cs="TimesNewRoman"/>
                <w:kern w:val="0"/>
                <w:sz w:val="18"/>
                <w:szCs w:val="18"/>
                <w:lang w:val="en-US" w:eastAsia="zh-CN"/>
              </w:rPr>
              <w:t>3.89</w:t>
            </w: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四、财政专户管理资金收入</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十、节能环保支出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十一、城乡社区支出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五、单位资金收入</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十二、农林水支出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其中：事业收入</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十三、交通运输支出</w:t>
            </w:r>
          </w:p>
        </w:tc>
        <w:tc>
          <w:tcPr>
            <w:tcW w:w="933" w:type="dxa"/>
            <w:tcBorders>
              <w:top w:val="single" w:color="auto" w:sz="4" w:space="0"/>
              <w:left w:val="single" w:color="auto" w:sz="4" w:space="0"/>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事业单位经营收入</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十四、资源勘探工业信息等支出</w:t>
            </w:r>
          </w:p>
        </w:tc>
        <w:tc>
          <w:tcPr>
            <w:tcW w:w="933" w:type="dxa"/>
            <w:tcBorders>
              <w:top w:val="single" w:color="auto" w:sz="4" w:space="0"/>
              <w:left w:val="nil"/>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上级补助收入</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十五、商业服务业等支出</w:t>
            </w:r>
          </w:p>
        </w:tc>
        <w:tc>
          <w:tcPr>
            <w:tcW w:w="933" w:type="dxa"/>
            <w:tcBorders>
              <w:top w:val="single" w:color="auto" w:sz="4" w:space="0"/>
              <w:left w:val="nil"/>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附属单位上缴收入</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十六、金融支出</w:t>
            </w:r>
          </w:p>
        </w:tc>
        <w:tc>
          <w:tcPr>
            <w:tcW w:w="933" w:type="dxa"/>
            <w:tcBorders>
              <w:top w:val="single" w:color="auto" w:sz="4" w:space="0"/>
              <w:left w:val="nil"/>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其他收入</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十七、援助其他地区支出</w:t>
            </w:r>
          </w:p>
        </w:tc>
        <w:tc>
          <w:tcPr>
            <w:tcW w:w="933" w:type="dxa"/>
            <w:tcBorders>
              <w:top w:val="single" w:color="auto" w:sz="4" w:space="0"/>
              <w:left w:val="nil"/>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十八、自然资源海洋气象等支出</w:t>
            </w:r>
          </w:p>
        </w:tc>
        <w:tc>
          <w:tcPr>
            <w:tcW w:w="933" w:type="dxa"/>
            <w:tcBorders>
              <w:top w:val="single" w:color="auto" w:sz="4" w:space="0"/>
              <w:left w:val="nil"/>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十九、住房保障支出</w:t>
            </w:r>
          </w:p>
        </w:tc>
        <w:tc>
          <w:tcPr>
            <w:tcW w:w="933" w:type="dxa"/>
            <w:tcBorders>
              <w:top w:val="single" w:color="auto" w:sz="4" w:space="0"/>
              <w:left w:val="nil"/>
              <w:bottom w:val="nil"/>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hint="eastAsia" w:ascii="TimesNewRoman" w:hAnsi="TimesNewRoman" w:cs="TimesNewRoman"/>
                <w:kern w:val="0"/>
                <w:sz w:val="18"/>
                <w:szCs w:val="18"/>
                <w:lang w:val="en-US" w:eastAsia="zh-CN"/>
              </w:rPr>
              <w:t>4.42</w:t>
            </w: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二十、粮油物资储备支出</w:t>
            </w:r>
          </w:p>
        </w:tc>
        <w:tc>
          <w:tcPr>
            <w:tcW w:w="933"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二十一、灾害防治及应急管理支出</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二十二、预备费</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二十三、其他支出</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二十四、转移性支出</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二十五、债务还本支出</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single" w:color="auto" w:sz="4" w:space="0"/>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二十六、债务付息支出</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nil"/>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89" w:type="dxa"/>
            <w:tcBorders>
              <w:top w:val="nil"/>
              <w:left w:val="single" w:color="auto" w:sz="4" w:space="0"/>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二十七、债务发行费用支出</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center"/>
              <w:rPr>
                <w:rFonts w:ascii="TimesNewRoman" w:hAnsi="TimesNewRoman" w:cs="TimesNewRoman"/>
                <w:kern w:val="0"/>
                <w:sz w:val="18"/>
                <w:szCs w:val="18"/>
              </w:rPr>
            </w:pPr>
            <w:r>
              <w:rPr>
                <w:rFonts w:ascii="TimesNewRoman" w:hAnsi="TimesNewRoman" w:cs="TimesNewRoman"/>
                <w:kern w:val="0"/>
                <w:sz w:val="18"/>
                <w:szCs w:val="18"/>
              </w:rPr>
              <w:t>本  年  收  入  小  计</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hint="eastAsia" w:ascii="TimesNewRoman" w:hAnsi="TimesNewRoman" w:cs="TimesNewRoman"/>
                <w:kern w:val="0"/>
                <w:sz w:val="18"/>
                <w:szCs w:val="18"/>
                <w:lang w:val="en-US" w:eastAsia="zh-CN"/>
              </w:rPr>
              <w:t>124.74</w:t>
            </w: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kern w:val="0"/>
                <w:sz w:val="18"/>
                <w:szCs w:val="18"/>
              </w:rPr>
            </w:pPr>
            <w:r>
              <w:rPr>
                <w:rFonts w:ascii="TimesNewRoman" w:hAnsi="TimesNewRoman" w:cs="TimesNewRoman"/>
                <w:kern w:val="0"/>
                <w:sz w:val="18"/>
                <w:szCs w:val="18"/>
              </w:rPr>
              <w:t>本  年  支  出  小  计</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hint="eastAsia" w:ascii="TimesNewRoman" w:hAnsi="TimesNewRoman" w:cs="TimesNewRoman"/>
                <w:kern w:val="0"/>
                <w:sz w:val="18"/>
                <w:szCs w:val="18"/>
                <w:lang w:val="en-US" w:eastAsia="zh-CN"/>
              </w:rPr>
              <w:t>124.74</w:t>
            </w: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hint="eastAsia" w:ascii="TimesNewRoman" w:hAnsi="TimesNewRoman" w:eastAsia="仿宋_GB2312" w:cs="TimesNewRoman"/>
                <w:kern w:val="0"/>
                <w:sz w:val="18"/>
                <w:szCs w:val="18"/>
              </w:rPr>
            </w:pPr>
            <w:r>
              <w:rPr>
                <w:rFonts w:ascii="TimesNewRoman" w:hAnsi="TimesNewRoman" w:cs="TimesNewRoman"/>
                <w:kern w:val="0"/>
                <w:sz w:val="18"/>
                <w:szCs w:val="18"/>
              </w:rPr>
              <w:t>上年</w:t>
            </w:r>
            <w:r>
              <w:rPr>
                <w:rFonts w:hint="eastAsia" w:ascii="TimesNewRoman" w:hAnsi="TimesNewRoman" w:cs="TimesNewRoman"/>
                <w:kern w:val="0"/>
                <w:sz w:val="18"/>
                <w:szCs w:val="18"/>
              </w:rPr>
              <w:t>结转数</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hint="eastAsia" w:ascii="TimesNewRoman" w:hAnsi="TimesNewRoman" w:eastAsia="仿宋_GB2312" w:cs="TimesNewRoman"/>
                <w:kern w:val="0"/>
                <w:sz w:val="18"/>
                <w:szCs w:val="18"/>
              </w:rPr>
            </w:pPr>
            <w:r>
              <w:rPr>
                <w:rFonts w:hint="eastAsia" w:ascii="TimesNewRoman" w:hAnsi="TimesNewRoman" w:cs="TimesNewRoman"/>
                <w:kern w:val="0"/>
                <w:sz w:val="18"/>
                <w:szCs w:val="18"/>
              </w:rPr>
              <w:t>结转下年</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一般公共预算</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一般公共预算</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政府性基金预算</w:t>
            </w:r>
          </w:p>
        </w:tc>
        <w:tc>
          <w:tcPr>
            <w:tcW w:w="1089"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政府性基金预算</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国有资本经营预算</w:t>
            </w:r>
          </w:p>
        </w:tc>
        <w:tc>
          <w:tcPr>
            <w:tcW w:w="1089" w:type="dxa"/>
            <w:tcBorders>
              <w:top w:val="nil"/>
              <w:left w:val="nil"/>
              <w:bottom w:val="single" w:color="auto" w:sz="4" w:space="0"/>
              <w:right w:val="single" w:color="auto" w:sz="4" w:space="0"/>
            </w:tcBorders>
            <w:noWrap w:val="0"/>
            <w:vAlign w:val="bottom"/>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国有资本经营预算</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财政专户管理资金</w:t>
            </w:r>
          </w:p>
        </w:tc>
        <w:tc>
          <w:tcPr>
            <w:tcW w:w="1089" w:type="dxa"/>
            <w:tcBorders>
              <w:top w:val="nil"/>
              <w:left w:val="nil"/>
              <w:bottom w:val="single" w:color="auto" w:sz="4" w:space="0"/>
              <w:right w:val="single" w:color="auto" w:sz="4" w:space="0"/>
            </w:tcBorders>
            <w:noWrap w:val="0"/>
            <w:vAlign w:val="bottom"/>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财政专户管理资金</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单位资金</w:t>
            </w:r>
          </w:p>
        </w:tc>
        <w:tc>
          <w:tcPr>
            <w:tcW w:w="1089" w:type="dxa"/>
            <w:tcBorders>
              <w:top w:val="nil"/>
              <w:left w:val="nil"/>
              <w:bottom w:val="single" w:color="auto" w:sz="4" w:space="0"/>
              <w:right w:val="single" w:color="auto" w:sz="4" w:space="0"/>
            </w:tcBorders>
            <w:noWrap w:val="0"/>
            <w:vAlign w:val="bottom"/>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ascii="TimesNewRoman" w:hAnsi="TimesNewRoman" w:cs="TimesNewRoman"/>
                <w:kern w:val="0"/>
                <w:sz w:val="18"/>
                <w:szCs w:val="18"/>
              </w:rPr>
              <w:t xml:space="preserve">    单位资金</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2" w:hRule="atLeast"/>
        </w:trPr>
        <w:tc>
          <w:tcPr>
            <w:tcW w:w="3728" w:type="dxa"/>
            <w:tcBorders>
              <w:top w:val="nil"/>
              <w:left w:val="single" w:color="auto" w:sz="4" w:space="0"/>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收   入   总   计</w:t>
            </w:r>
          </w:p>
        </w:tc>
        <w:tc>
          <w:tcPr>
            <w:tcW w:w="1089" w:type="dxa"/>
            <w:tcBorders>
              <w:top w:val="nil"/>
              <w:left w:val="nil"/>
              <w:bottom w:val="single" w:color="auto" w:sz="4" w:space="0"/>
              <w:right w:val="single" w:color="auto" w:sz="4" w:space="0"/>
            </w:tcBorders>
            <w:noWrap w:val="0"/>
            <w:vAlign w:val="bottom"/>
          </w:tcPr>
          <w:p>
            <w:pPr>
              <w:widowControl/>
              <w:spacing w:line="260" w:lineRule="exact"/>
              <w:jc w:val="right"/>
              <w:rPr>
                <w:rFonts w:ascii="TimesNewRoman" w:hAnsi="TimesNewRoman" w:cs="TimesNewRoman"/>
                <w:b/>
                <w:bCs/>
                <w:kern w:val="0"/>
                <w:sz w:val="18"/>
                <w:szCs w:val="18"/>
              </w:rPr>
            </w:pPr>
            <w:r>
              <w:rPr>
                <w:rFonts w:hint="eastAsia" w:ascii="TimesNewRoman" w:hAnsi="TimesNewRoman" w:cs="TimesNewRoman"/>
                <w:kern w:val="0"/>
                <w:sz w:val="18"/>
                <w:szCs w:val="18"/>
                <w:lang w:val="en-US" w:eastAsia="zh-CN"/>
              </w:rPr>
              <w:t>124.74</w:t>
            </w:r>
            <w:r>
              <w:rPr>
                <w:rFonts w:ascii="TimesNewRoman" w:hAnsi="TimesNewRoman" w:cs="TimesNewRoman"/>
                <w:b/>
                <w:bCs/>
                <w:kern w:val="0"/>
                <w:sz w:val="18"/>
                <w:szCs w:val="18"/>
              </w:rPr>
              <w:t>　</w:t>
            </w:r>
          </w:p>
        </w:tc>
        <w:tc>
          <w:tcPr>
            <w:tcW w:w="3470" w:type="dxa"/>
            <w:tcBorders>
              <w:top w:val="nil"/>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支　出  总　计</w:t>
            </w:r>
          </w:p>
        </w:tc>
        <w:tc>
          <w:tcPr>
            <w:tcW w:w="93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hint="eastAsia" w:ascii="TimesNewRoman" w:hAnsi="TimesNewRoman" w:cs="TimesNewRoman"/>
                <w:kern w:val="0"/>
                <w:sz w:val="18"/>
                <w:szCs w:val="18"/>
                <w:lang w:val="en-US" w:eastAsia="zh-CN"/>
              </w:rPr>
              <w:t>124.74</w:t>
            </w:r>
            <w:r>
              <w:rPr>
                <w:rFonts w:ascii="TimesNewRoman" w:hAnsi="TimesNewRoman" w:cs="TimesNewRoman"/>
                <w:kern w:val="0"/>
                <w:sz w:val="18"/>
                <w:szCs w:val="18"/>
              </w:rPr>
              <w:t>　</w:t>
            </w:r>
          </w:p>
        </w:tc>
      </w:tr>
    </w:tbl>
    <w:p>
      <w:pPr>
        <w:spacing w:line="560" w:lineRule="exact"/>
        <w:jc w:val="center"/>
        <w:rPr>
          <w:rFonts w:ascii="TimesNewRoman" w:hAnsi="TimesNewRoman" w:cs="TimesNewRoman"/>
          <w:kern w:val="0"/>
          <w:sz w:val="20"/>
        </w:rPr>
        <w:sectPr>
          <w:footerReference r:id="rId3" w:type="default"/>
          <w:footerReference r:id="rId4" w:type="even"/>
          <w:pgSz w:w="11907" w:h="16840"/>
          <w:pgMar w:top="2098" w:right="1474" w:bottom="1985" w:left="1588" w:header="851" w:footer="1021" w:gutter="0"/>
          <w:cols w:space="425" w:num="1"/>
          <w:titlePg/>
          <w:docGrid w:type="linesAndChars" w:linePitch="312" w:charSpace="0"/>
        </w:sectPr>
      </w:pPr>
    </w:p>
    <w:p>
      <w:pPr>
        <w:spacing w:line="560" w:lineRule="exact"/>
        <w:jc w:val="center"/>
        <w:rPr>
          <w:rFonts w:ascii="TimesNewRoman" w:hAnsi="TimesNewRoman" w:cs="TimesNewRoman"/>
          <w:kern w:val="0"/>
          <w:sz w:val="20"/>
        </w:rPr>
      </w:pPr>
      <w:r>
        <w:rPr>
          <w:rFonts w:hint="eastAsia" w:ascii="TimesNewRoman" w:hAnsi="TimesNewRoman" w:cs="TimesNewRoman"/>
          <w:kern w:val="0"/>
          <w:sz w:val="20"/>
        </w:rPr>
        <w:t xml:space="preserve">                                                                                                             </w:t>
      </w:r>
      <w:r>
        <w:rPr>
          <w:rFonts w:hint="eastAsia" w:ascii="TimesNewRoman" w:hAnsi="TimesNewRoman" w:cs="TimesNewRoman"/>
          <w:kern w:val="0"/>
          <w:sz w:val="20"/>
          <w:lang w:eastAsia="zh-CN"/>
        </w:rPr>
        <w:t>部门</w:t>
      </w:r>
      <w:r>
        <w:rPr>
          <w:rFonts w:ascii="TimesNewRoman" w:hAnsi="TimesNewRoman" w:cs="TimesNewRoman"/>
          <w:kern w:val="0"/>
          <w:sz w:val="20"/>
        </w:rPr>
        <w:t>公开表2</w:t>
      </w:r>
    </w:p>
    <w:p>
      <w:pPr>
        <w:spacing w:line="560" w:lineRule="exact"/>
        <w:jc w:val="center"/>
        <w:rPr>
          <w:rFonts w:ascii="宋体" w:hAnsi="宋体" w:cs="TimesNewRoman"/>
          <w:b/>
          <w:bCs/>
          <w:kern w:val="0"/>
          <w:sz w:val="28"/>
          <w:szCs w:val="32"/>
        </w:rPr>
      </w:pPr>
      <w:r>
        <w:rPr>
          <w:rFonts w:hint="eastAsia" w:ascii="宋体" w:hAnsi="宋体" w:cs="TimesNewRoman"/>
          <w:b/>
          <w:bCs/>
          <w:kern w:val="0"/>
          <w:sz w:val="28"/>
          <w:szCs w:val="32"/>
          <w:lang w:eastAsia="zh-CN"/>
        </w:rPr>
        <w:t>寿县科学技术协会</w:t>
      </w:r>
      <w:r>
        <w:rPr>
          <w:rFonts w:hint="eastAsia" w:ascii="宋体" w:hAnsi="宋体" w:cs="TimesNewRoman"/>
          <w:b/>
          <w:bCs/>
          <w:kern w:val="0"/>
          <w:sz w:val="28"/>
          <w:szCs w:val="32"/>
        </w:rPr>
        <w:t>2024</w:t>
      </w:r>
      <w:r>
        <w:rPr>
          <w:rFonts w:ascii="宋体" w:hAnsi="宋体" w:cs="TimesNewRoman"/>
          <w:b/>
          <w:bCs/>
          <w:kern w:val="0"/>
          <w:sz w:val="28"/>
          <w:szCs w:val="32"/>
        </w:rPr>
        <w:t>年收入总表</w:t>
      </w:r>
    </w:p>
    <w:p>
      <w:pPr>
        <w:spacing w:line="560" w:lineRule="exact"/>
        <w:rPr>
          <w:rFonts w:ascii="TimesNewRoman" w:hAnsi="TimesNewRoman" w:cs="TimesNewRoman"/>
          <w:kern w:val="0"/>
          <w:sz w:val="20"/>
        </w:rPr>
      </w:pPr>
      <w:r>
        <w:rPr>
          <w:rFonts w:ascii="TimesNewRoman" w:hAnsi="TimesNewRoman" w:cs="TimesNewRoman"/>
          <w:kern w:val="0"/>
          <w:sz w:val="20"/>
        </w:rPr>
        <w:t xml:space="preserve">                                                                                                                                单位：万元</w:t>
      </w:r>
    </w:p>
    <w:tbl>
      <w:tblPr>
        <w:tblStyle w:val="4"/>
        <w:tblW w:w="13462" w:type="dxa"/>
        <w:tblInd w:w="-431" w:type="dxa"/>
        <w:tblLayout w:type="fixed"/>
        <w:tblCellMar>
          <w:top w:w="0" w:type="dxa"/>
          <w:left w:w="108" w:type="dxa"/>
          <w:bottom w:w="0" w:type="dxa"/>
          <w:right w:w="108" w:type="dxa"/>
        </w:tblCellMar>
      </w:tblPr>
      <w:tblGrid>
        <w:gridCol w:w="1673"/>
        <w:gridCol w:w="1035"/>
        <w:gridCol w:w="990"/>
        <w:gridCol w:w="1020"/>
        <w:gridCol w:w="600"/>
        <w:gridCol w:w="615"/>
        <w:gridCol w:w="645"/>
        <w:gridCol w:w="645"/>
        <w:gridCol w:w="585"/>
        <w:gridCol w:w="615"/>
        <w:gridCol w:w="630"/>
        <w:gridCol w:w="615"/>
        <w:gridCol w:w="600"/>
        <w:gridCol w:w="435"/>
        <w:gridCol w:w="585"/>
        <w:gridCol w:w="555"/>
        <w:gridCol w:w="585"/>
        <w:gridCol w:w="540"/>
        <w:gridCol w:w="494"/>
      </w:tblGrid>
      <w:tr>
        <w:tblPrEx>
          <w:tblLayout w:type="fixed"/>
          <w:tblCellMar>
            <w:top w:w="0" w:type="dxa"/>
            <w:left w:w="108" w:type="dxa"/>
            <w:bottom w:w="0" w:type="dxa"/>
            <w:right w:w="108" w:type="dxa"/>
          </w:tblCellMar>
        </w:tblPrEx>
        <w:trPr>
          <w:trHeight w:val="501" w:hRule="atLeast"/>
        </w:trPr>
        <w:tc>
          <w:tcPr>
            <w:tcW w:w="1673"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hint="eastAsia" w:ascii="TimesNewRoman" w:hAnsi="TimesNewRoman" w:cs="TimesNewRoman"/>
                <w:b/>
                <w:kern w:val="0"/>
                <w:sz w:val="18"/>
                <w:szCs w:val="18"/>
                <w:lang w:eastAsia="zh-CN"/>
              </w:rPr>
              <w:t>部门</w:t>
            </w:r>
            <w:r>
              <w:rPr>
                <w:rFonts w:ascii="TimesNewRoman" w:hAnsi="TimesNewRoman" w:cs="TimesNewRoman"/>
                <w:b/>
                <w:kern w:val="0"/>
                <w:sz w:val="18"/>
                <w:szCs w:val="18"/>
              </w:rPr>
              <w:t>名称</w:t>
            </w:r>
          </w:p>
        </w:tc>
        <w:tc>
          <w:tcPr>
            <w:tcW w:w="103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合计</w:t>
            </w:r>
          </w:p>
        </w:tc>
        <w:tc>
          <w:tcPr>
            <w:tcW w:w="7560" w:type="dxa"/>
            <w:gridSpan w:val="11"/>
            <w:tcBorders>
              <w:top w:val="single" w:color="auto" w:sz="4" w:space="0"/>
              <w:left w:val="nil"/>
              <w:bottom w:val="single" w:color="auto" w:sz="4" w:space="0"/>
              <w:right w:val="single" w:color="000000"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本年收入</w:t>
            </w:r>
          </w:p>
        </w:tc>
        <w:tc>
          <w:tcPr>
            <w:tcW w:w="3194" w:type="dxa"/>
            <w:gridSpan w:val="6"/>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6"/>
                <w:szCs w:val="16"/>
              </w:rPr>
            </w:pPr>
            <w:r>
              <w:rPr>
                <w:rFonts w:ascii="TimesNewRoman" w:hAnsi="TimesNewRoman" w:cs="TimesNewRoman"/>
                <w:b/>
                <w:kern w:val="0"/>
                <w:sz w:val="16"/>
                <w:szCs w:val="16"/>
              </w:rPr>
              <w:t>上年结转结余</w:t>
            </w:r>
          </w:p>
        </w:tc>
      </w:tr>
      <w:tr>
        <w:tblPrEx>
          <w:tblLayout w:type="fixed"/>
          <w:tblCellMar>
            <w:top w:w="0" w:type="dxa"/>
            <w:left w:w="108" w:type="dxa"/>
            <w:bottom w:w="0" w:type="dxa"/>
            <w:right w:w="108" w:type="dxa"/>
          </w:tblCellMar>
        </w:tblPrEx>
        <w:trPr>
          <w:trHeight w:val="424" w:hRule="atLeast"/>
        </w:trPr>
        <w:tc>
          <w:tcPr>
            <w:tcW w:w="167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b/>
                <w:kern w:val="0"/>
                <w:sz w:val="18"/>
                <w:szCs w:val="18"/>
              </w:rPr>
            </w:pPr>
          </w:p>
        </w:tc>
        <w:tc>
          <w:tcPr>
            <w:tcW w:w="10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b/>
                <w:kern w:val="0"/>
                <w:sz w:val="18"/>
                <w:szCs w:val="18"/>
              </w:rPr>
            </w:pPr>
          </w:p>
        </w:tc>
        <w:tc>
          <w:tcPr>
            <w:tcW w:w="990" w:type="dxa"/>
            <w:vMerge w:val="restart"/>
            <w:tcBorders>
              <w:top w:val="nil"/>
              <w:left w:val="single" w:color="auto" w:sz="4" w:space="0"/>
              <w:bottom w:val="nil"/>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小计</w:t>
            </w:r>
          </w:p>
        </w:tc>
        <w:tc>
          <w:tcPr>
            <w:tcW w:w="1020" w:type="dxa"/>
            <w:vMerge w:val="restart"/>
            <w:tcBorders>
              <w:top w:val="nil"/>
              <w:left w:val="single" w:color="auto" w:sz="4" w:space="0"/>
              <w:bottom w:val="nil"/>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一般公共预算</w:t>
            </w:r>
          </w:p>
        </w:tc>
        <w:tc>
          <w:tcPr>
            <w:tcW w:w="600" w:type="dxa"/>
            <w:vMerge w:val="restart"/>
            <w:tcBorders>
              <w:top w:val="nil"/>
              <w:left w:val="single" w:color="auto" w:sz="4" w:space="0"/>
              <w:bottom w:val="nil"/>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政府性基金预算</w:t>
            </w:r>
          </w:p>
        </w:tc>
        <w:tc>
          <w:tcPr>
            <w:tcW w:w="615" w:type="dxa"/>
            <w:vMerge w:val="restart"/>
            <w:tcBorders>
              <w:top w:val="nil"/>
              <w:left w:val="single" w:color="auto" w:sz="4" w:space="0"/>
              <w:bottom w:val="single" w:color="000000"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国有资本经营预算</w:t>
            </w:r>
          </w:p>
        </w:tc>
        <w:tc>
          <w:tcPr>
            <w:tcW w:w="645" w:type="dxa"/>
            <w:vMerge w:val="restart"/>
            <w:tcBorders>
              <w:top w:val="nil"/>
              <w:left w:val="single" w:color="auto" w:sz="4" w:space="0"/>
              <w:bottom w:val="single" w:color="000000"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财政专户管理资金</w:t>
            </w:r>
          </w:p>
        </w:tc>
        <w:tc>
          <w:tcPr>
            <w:tcW w:w="3690" w:type="dxa"/>
            <w:gridSpan w:val="6"/>
            <w:tcBorders>
              <w:top w:val="single" w:color="auto" w:sz="4" w:space="0"/>
              <w:left w:val="nil"/>
              <w:bottom w:val="single" w:color="auto" w:sz="4" w:space="0"/>
              <w:right w:val="single" w:color="000000"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单位资金</w:t>
            </w:r>
          </w:p>
        </w:tc>
        <w:tc>
          <w:tcPr>
            <w:tcW w:w="435" w:type="dxa"/>
            <w:vMerge w:val="restart"/>
            <w:tcBorders>
              <w:top w:val="nil"/>
              <w:left w:val="single" w:color="auto" w:sz="4" w:space="0"/>
              <w:bottom w:val="nil"/>
              <w:right w:val="single" w:color="auto" w:sz="4" w:space="0"/>
            </w:tcBorders>
            <w:noWrap w:val="0"/>
            <w:vAlign w:val="center"/>
          </w:tcPr>
          <w:p>
            <w:pPr>
              <w:widowControl/>
              <w:spacing w:line="260" w:lineRule="exact"/>
              <w:jc w:val="center"/>
              <w:rPr>
                <w:rFonts w:ascii="TimesNewRoman" w:hAnsi="TimesNewRoman" w:cs="TimesNewRoman"/>
                <w:b/>
                <w:kern w:val="0"/>
                <w:sz w:val="16"/>
                <w:szCs w:val="16"/>
              </w:rPr>
            </w:pPr>
            <w:r>
              <w:rPr>
                <w:rFonts w:ascii="TimesNewRoman" w:hAnsi="TimesNewRoman" w:cs="TimesNewRoman"/>
                <w:b/>
                <w:kern w:val="0"/>
                <w:sz w:val="16"/>
                <w:szCs w:val="16"/>
              </w:rPr>
              <w:t>小计</w:t>
            </w:r>
          </w:p>
        </w:tc>
        <w:tc>
          <w:tcPr>
            <w:tcW w:w="585" w:type="dxa"/>
            <w:vMerge w:val="restart"/>
            <w:tcBorders>
              <w:top w:val="nil"/>
              <w:left w:val="single" w:color="auto" w:sz="4" w:space="0"/>
              <w:bottom w:val="nil"/>
              <w:right w:val="single" w:color="auto" w:sz="4" w:space="0"/>
            </w:tcBorders>
            <w:noWrap w:val="0"/>
            <w:vAlign w:val="center"/>
          </w:tcPr>
          <w:p>
            <w:pPr>
              <w:widowControl/>
              <w:spacing w:line="260" w:lineRule="exact"/>
              <w:jc w:val="center"/>
              <w:rPr>
                <w:rFonts w:ascii="TimesNewRoman" w:hAnsi="TimesNewRoman" w:cs="TimesNewRoman"/>
                <w:b/>
                <w:kern w:val="0"/>
                <w:sz w:val="16"/>
                <w:szCs w:val="16"/>
              </w:rPr>
            </w:pPr>
            <w:r>
              <w:rPr>
                <w:rFonts w:ascii="TimesNewRoman" w:hAnsi="TimesNewRoman" w:cs="TimesNewRoman"/>
                <w:b/>
                <w:kern w:val="0"/>
                <w:sz w:val="16"/>
                <w:szCs w:val="16"/>
              </w:rPr>
              <w:t>一般公共预算</w:t>
            </w:r>
          </w:p>
        </w:tc>
        <w:tc>
          <w:tcPr>
            <w:tcW w:w="555" w:type="dxa"/>
            <w:vMerge w:val="restart"/>
            <w:tcBorders>
              <w:top w:val="nil"/>
              <w:left w:val="single" w:color="auto" w:sz="4" w:space="0"/>
              <w:bottom w:val="nil"/>
              <w:right w:val="single" w:color="auto" w:sz="4" w:space="0"/>
            </w:tcBorders>
            <w:noWrap w:val="0"/>
            <w:vAlign w:val="center"/>
          </w:tcPr>
          <w:p>
            <w:pPr>
              <w:widowControl/>
              <w:spacing w:line="260" w:lineRule="exact"/>
              <w:jc w:val="center"/>
              <w:rPr>
                <w:rFonts w:ascii="TimesNewRoman" w:hAnsi="TimesNewRoman" w:cs="TimesNewRoman"/>
                <w:b/>
                <w:kern w:val="0"/>
                <w:sz w:val="16"/>
                <w:szCs w:val="16"/>
              </w:rPr>
            </w:pPr>
            <w:r>
              <w:rPr>
                <w:rFonts w:ascii="TimesNewRoman" w:hAnsi="TimesNewRoman" w:cs="TimesNewRoman"/>
                <w:b/>
                <w:kern w:val="0"/>
                <w:sz w:val="16"/>
                <w:szCs w:val="16"/>
              </w:rPr>
              <w:t>政府性基金预算</w:t>
            </w:r>
          </w:p>
        </w:tc>
        <w:tc>
          <w:tcPr>
            <w:tcW w:w="585" w:type="dxa"/>
            <w:vMerge w:val="restart"/>
            <w:tcBorders>
              <w:top w:val="nil"/>
              <w:left w:val="single" w:color="auto" w:sz="4" w:space="0"/>
              <w:bottom w:val="nil"/>
              <w:right w:val="single" w:color="auto" w:sz="4" w:space="0"/>
            </w:tcBorders>
            <w:noWrap w:val="0"/>
            <w:vAlign w:val="center"/>
          </w:tcPr>
          <w:p>
            <w:pPr>
              <w:widowControl/>
              <w:spacing w:line="260" w:lineRule="exact"/>
              <w:jc w:val="center"/>
              <w:rPr>
                <w:rFonts w:ascii="TimesNewRoman" w:hAnsi="TimesNewRoman" w:cs="TimesNewRoman"/>
                <w:b/>
                <w:kern w:val="0"/>
                <w:sz w:val="16"/>
                <w:szCs w:val="16"/>
              </w:rPr>
            </w:pPr>
            <w:r>
              <w:rPr>
                <w:rFonts w:ascii="TimesNewRoman" w:hAnsi="TimesNewRoman" w:cs="TimesNewRoman"/>
                <w:b/>
                <w:kern w:val="0"/>
                <w:sz w:val="16"/>
                <w:szCs w:val="16"/>
              </w:rPr>
              <w:t>国有资本经营预算</w:t>
            </w:r>
          </w:p>
        </w:tc>
        <w:tc>
          <w:tcPr>
            <w:tcW w:w="540" w:type="dxa"/>
            <w:vMerge w:val="restart"/>
            <w:tcBorders>
              <w:top w:val="nil"/>
              <w:left w:val="single" w:color="auto" w:sz="4" w:space="0"/>
              <w:bottom w:val="nil"/>
              <w:right w:val="single" w:color="auto" w:sz="4" w:space="0"/>
            </w:tcBorders>
            <w:noWrap w:val="0"/>
            <w:vAlign w:val="center"/>
          </w:tcPr>
          <w:p>
            <w:pPr>
              <w:widowControl/>
              <w:spacing w:line="260" w:lineRule="exact"/>
              <w:jc w:val="center"/>
              <w:rPr>
                <w:rFonts w:ascii="TimesNewRoman" w:hAnsi="TimesNewRoman" w:cs="TimesNewRoman"/>
                <w:b/>
                <w:kern w:val="0"/>
                <w:sz w:val="16"/>
                <w:szCs w:val="16"/>
              </w:rPr>
            </w:pPr>
            <w:r>
              <w:rPr>
                <w:rFonts w:ascii="TimesNewRoman" w:hAnsi="TimesNewRoman" w:cs="TimesNewRoman"/>
                <w:b/>
                <w:kern w:val="0"/>
                <w:sz w:val="16"/>
                <w:szCs w:val="16"/>
              </w:rPr>
              <w:t>财政专户管理资金</w:t>
            </w:r>
          </w:p>
        </w:tc>
        <w:tc>
          <w:tcPr>
            <w:tcW w:w="494" w:type="dxa"/>
            <w:vMerge w:val="restart"/>
            <w:tcBorders>
              <w:top w:val="nil"/>
              <w:left w:val="single" w:color="auto" w:sz="4" w:space="0"/>
              <w:bottom w:val="nil"/>
              <w:right w:val="single" w:color="auto" w:sz="4" w:space="0"/>
            </w:tcBorders>
            <w:noWrap w:val="0"/>
            <w:vAlign w:val="center"/>
          </w:tcPr>
          <w:p>
            <w:pPr>
              <w:widowControl/>
              <w:spacing w:line="260" w:lineRule="exact"/>
              <w:jc w:val="center"/>
              <w:rPr>
                <w:rFonts w:ascii="TimesNewRoman" w:hAnsi="TimesNewRoman" w:cs="TimesNewRoman"/>
                <w:b/>
                <w:kern w:val="0"/>
                <w:sz w:val="16"/>
                <w:szCs w:val="16"/>
              </w:rPr>
            </w:pPr>
            <w:r>
              <w:rPr>
                <w:rFonts w:ascii="TimesNewRoman" w:hAnsi="TimesNewRoman" w:cs="TimesNewRoman"/>
                <w:b/>
                <w:kern w:val="0"/>
                <w:sz w:val="16"/>
                <w:szCs w:val="16"/>
              </w:rPr>
              <w:t>单位资金</w:t>
            </w:r>
          </w:p>
        </w:tc>
      </w:tr>
      <w:tr>
        <w:tblPrEx>
          <w:tblLayout w:type="fixed"/>
          <w:tblCellMar>
            <w:top w:w="0" w:type="dxa"/>
            <w:left w:w="108" w:type="dxa"/>
            <w:bottom w:w="0" w:type="dxa"/>
            <w:right w:w="108" w:type="dxa"/>
          </w:tblCellMar>
        </w:tblPrEx>
        <w:trPr>
          <w:trHeight w:val="2579" w:hRule="atLeast"/>
        </w:trPr>
        <w:tc>
          <w:tcPr>
            <w:tcW w:w="167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10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990" w:type="dxa"/>
            <w:vMerge w:val="continue"/>
            <w:tcBorders>
              <w:top w:val="nil"/>
              <w:left w:val="single" w:color="auto" w:sz="4" w:space="0"/>
              <w:bottom w:val="nil"/>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1020" w:type="dxa"/>
            <w:vMerge w:val="continue"/>
            <w:tcBorders>
              <w:top w:val="nil"/>
              <w:left w:val="single" w:color="auto" w:sz="4" w:space="0"/>
              <w:bottom w:val="nil"/>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600" w:type="dxa"/>
            <w:vMerge w:val="continue"/>
            <w:tcBorders>
              <w:top w:val="nil"/>
              <w:left w:val="single" w:color="auto" w:sz="4" w:space="0"/>
              <w:bottom w:val="nil"/>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615" w:type="dxa"/>
            <w:vMerge w:val="continue"/>
            <w:tcBorders>
              <w:top w:val="nil"/>
              <w:left w:val="single" w:color="auto" w:sz="4" w:space="0"/>
              <w:bottom w:val="single" w:color="000000"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645" w:type="dxa"/>
            <w:vMerge w:val="continue"/>
            <w:tcBorders>
              <w:top w:val="nil"/>
              <w:left w:val="single" w:color="auto" w:sz="4" w:space="0"/>
              <w:bottom w:val="single" w:color="000000"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645" w:type="dxa"/>
            <w:tcBorders>
              <w:top w:val="nil"/>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小计</w:t>
            </w:r>
          </w:p>
        </w:tc>
        <w:tc>
          <w:tcPr>
            <w:tcW w:w="585" w:type="dxa"/>
            <w:tcBorders>
              <w:top w:val="nil"/>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事业     收入</w:t>
            </w:r>
          </w:p>
        </w:tc>
        <w:tc>
          <w:tcPr>
            <w:tcW w:w="615" w:type="dxa"/>
            <w:tcBorders>
              <w:top w:val="nil"/>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事业单位经营收入</w:t>
            </w:r>
          </w:p>
        </w:tc>
        <w:tc>
          <w:tcPr>
            <w:tcW w:w="630" w:type="dxa"/>
            <w:tcBorders>
              <w:top w:val="nil"/>
              <w:left w:val="nil"/>
              <w:bottom w:val="nil"/>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上级补助收入</w:t>
            </w:r>
          </w:p>
        </w:tc>
        <w:tc>
          <w:tcPr>
            <w:tcW w:w="615" w:type="dxa"/>
            <w:tcBorders>
              <w:top w:val="nil"/>
              <w:left w:val="nil"/>
              <w:bottom w:val="nil"/>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附属单位上缴收入</w:t>
            </w:r>
          </w:p>
        </w:tc>
        <w:tc>
          <w:tcPr>
            <w:tcW w:w="600" w:type="dxa"/>
            <w:tcBorders>
              <w:top w:val="nil"/>
              <w:left w:val="nil"/>
              <w:bottom w:val="nil"/>
              <w:right w:val="single" w:color="auto" w:sz="4" w:space="0"/>
            </w:tcBorders>
            <w:noWrap w:val="0"/>
            <w:vAlign w:val="center"/>
          </w:tcPr>
          <w:p>
            <w:pPr>
              <w:widowControl/>
              <w:spacing w:line="260" w:lineRule="exact"/>
              <w:jc w:val="center"/>
              <w:rPr>
                <w:rFonts w:ascii="TimesNewRoman" w:hAnsi="TimesNewRoman" w:cs="TimesNewRoman"/>
                <w:b/>
                <w:kern w:val="0"/>
                <w:sz w:val="18"/>
                <w:szCs w:val="18"/>
              </w:rPr>
            </w:pPr>
            <w:r>
              <w:rPr>
                <w:rFonts w:ascii="TimesNewRoman" w:hAnsi="TimesNewRoman" w:cs="TimesNewRoman"/>
                <w:b/>
                <w:kern w:val="0"/>
                <w:sz w:val="18"/>
                <w:szCs w:val="18"/>
              </w:rPr>
              <w:t>其他   收入</w:t>
            </w:r>
          </w:p>
        </w:tc>
        <w:tc>
          <w:tcPr>
            <w:tcW w:w="435" w:type="dxa"/>
            <w:vMerge w:val="continue"/>
            <w:tcBorders>
              <w:top w:val="nil"/>
              <w:left w:val="single" w:color="auto" w:sz="4" w:space="0"/>
              <w:bottom w:val="nil"/>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585" w:type="dxa"/>
            <w:vMerge w:val="continue"/>
            <w:tcBorders>
              <w:top w:val="nil"/>
              <w:left w:val="single" w:color="auto" w:sz="4" w:space="0"/>
              <w:bottom w:val="nil"/>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555" w:type="dxa"/>
            <w:vMerge w:val="continue"/>
            <w:tcBorders>
              <w:top w:val="nil"/>
              <w:left w:val="single" w:color="auto" w:sz="4" w:space="0"/>
              <w:bottom w:val="nil"/>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585" w:type="dxa"/>
            <w:vMerge w:val="continue"/>
            <w:tcBorders>
              <w:top w:val="nil"/>
              <w:left w:val="single" w:color="auto" w:sz="4" w:space="0"/>
              <w:bottom w:val="nil"/>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540" w:type="dxa"/>
            <w:vMerge w:val="continue"/>
            <w:tcBorders>
              <w:top w:val="nil"/>
              <w:left w:val="single" w:color="auto" w:sz="4" w:space="0"/>
              <w:bottom w:val="nil"/>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c>
          <w:tcPr>
            <w:tcW w:w="494" w:type="dxa"/>
            <w:vMerge w:val="continue"/>
            <w:tcBorders>
              <w:top w:val="nil"/>
              <w:left w:val="single" w:color="auto" w:sz="4" w:space="0"/>
              <w:bottom w:val="nil"/>
              <w:right w:val="single" w:color="auto" w:sz="4" w:space="0"/>
            </w:tcBorders>
            <w:noWrap w:val="0"/>
            <w:vAlign w:val="center"/>
          </w:tcPr>
          <w:p>
            <w:pPr>
              <w:widowControl/>
              <w:spacing w:line="260" w:lineRule="exact"/>
              <w:jc w:val="left"/>
              <w:rPr>
                <w:rFonts w:ascii="TimesNewRoman" w:hAnsi="TimesNewRoman" w:cs="TimesNewRoman"/>
                <w:kern w:val="0"/>
                <w:sz w:val="18"/>
                <w:szCs w:val="18"/>
              </w:rPr>
            </w:pPr>
          </w:p>
        </w:tc>
      </w:tr>
      <w:tr>
        <w:tblPrEx>
          <w:tblLayout w:type="fixed"/>
          <w:tblCellMar>
            <w:top w:w="0" w:type="dxa"/>
            <w:left w:w="108" w:type="dxa"/>
            <w:bottom w:w="0" w:type="dxa"/>
            <w:right w:w="108" w:type="dxa"/>
          </w:tblCellMar>
        </w:tblPrEx>
        <w:trPr>
          <w:trHeight w:val="429" w:hRule="atLeast"/>
        </w:trPr>
        <w:tc>
          <w:tcPr>
            <w:tcW w:w="1673"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hint="eastAsia" w:ascii="TimesNewRoman" w:hAnsi="TimesNewRoman" w:cs="TimesNewRoman"/>
                <w:kern w:val="0"/>
                <w:sz w:val="18"/>
                <w:szCs w:val="18"/>
                <w:lang w:val="en-US" w:eastAsia="zh-CN"/>
              </w:rPr>
              <w:t>寿县科学技术协会</w:t>
            </w:r>
            <w:r>
              <w:rPr>
                <w:rFonts w:ascii="TimesNewRoman" w:hAnsi="TimesNewRoman" w:cs="TimesNewRoman"/>
                <w:kern w:val="0"/>
                <w:sz w:val="18"/>
                <w:szCs w:val="18"/>
              </w:rPr>
              <w:t>部门</w:t>
            </w:r>
          </w:p>
        </w:tc>
        <w:tc>
          <w:tcPr>
            <w:tcW w:w="1035"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124.74</w:t>
            </w:r>
          </w:p>
        </w:tc>
        <w:tc>
          <w:tcPr>
            <w:tcW w:w="99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124.74　</w:t>
            </w:r>
          </w:p>
        </w:tc>
        <w:tc>
          <w:tcPr>
            <w:tcW w:w="102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124.74　</w:t>
            </w:r>
          </w:p>
        </w:tc>
        <w:tc>
          <w:tcPr>
            <w:tcW w:w="60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61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4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4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8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1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30"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15"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00"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435"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85"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55"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85"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40"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494" w:type="dxa"/>
            <w:tcBorders>
              <w:top w:val="single" w:color="auto" w:sz="4" w:space="0"/>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429" w:hRule="atLeast"/>
        </w:trPr>
        <w:tc>
          <w:tcPr>
            <w:tcW w:w="1673" w:type="dxa"/>
            <w:tcBorders>
              <w:top w:val="nil"/>
              <w:left w:val="single" w:color="auto" w:sz="4" w:space="0"/>
              <w:bottom w:val="single" w:color="auto" w:sz="4" w:space="0"/>
              <w:right w:val="single" w:color="auto" w:sz="4" w:space="0"/>
            </w:tcBorders>
            <w:noWrap w:val="0"/>
            <w:vAlign w:val="center"/>
          </w:tcPr>
          <w:p>
            <w:pPr>
              <w:widowControl/>
              <w:spacing w:line="260" w:lineRule="exact"/>
              <w:jc w:val="left"/>
              <w:rPr>
                <w:rFonts w:ascii="TimesNewRoman" w:hAnsi="TimesNewRoman" w:cs="TimesNewRoman"/>
                <w:kern w:val="0"/>
                <w:sz w:val="18"/>
                <w:szCs w:val="18"/>
              </w:rPr>
            </w:pPr>
            <w:r>
              <w:rPr>
                <w:rFonts w:hint="eastAsia" w:ascii="TimesNewRoman" w:hAnsi="TimesNewRoman" w:cs="TimesNewRoman"/>
                <w:kern w:val="0"/>
                <w:sz w:val="18"/>
                <w:szCs w:val="18"/>
                <w:lang w:val="en-US" w:eastAsia="zh-CN"/>
              </w:rPr>
              <w:t>寿县科学技术协会</w:t>
            </w:r>
            <w:r>
              <w:rPr>
                <w:rFonts w:ascii="TimesNewRoman" w:hAnsi="TimesNewRoman" w:cs="TimesNewRoman"/>
                <w:kern w:val="0"/>
                <w:sz w:val="18"/>
                <w:szCs w:val="18"/>
              </w:rPr>
              <w:t>部门本级</w:t>
            </w:r>
          </w:p>
        </w:tc>
        <w:tc>
          <w:tcPr>
            <w:tcW w:w="1035"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124.74　</w:t>
            </w:r>
          </w:p>
        </w:tc>
        <w:tc>
          <w:tcPr>
            <w:tcW w:w="99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124.74　</w:t>
            </w:r>
          </w:p>
        </w:tc>
        <w:tc>
          <w:tcPr>
            <w:tcW w:w="102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124.74　</w:t>
            </w:r>
          </w:p>
        </w:tc>
        <w:tc>
          <w:tcPr>
            <w:tcW w:w="6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61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4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4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8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1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30"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1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00"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43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8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5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8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540"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494"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bl>
    <w:p>
      <w:pPr>
        <w:spacing w:line="560" w:lineRule="exact"/>
        <w:jc w:val="right"/>
        <w:rPr>
          <w:rFonts w:hint="eastAsia" w:ascii="TimesNewRoman" w:hAnsi="TimesNewRoman" w:cs="TimesNewRoman"/>
          <w:kern w:val="0"/>
          <w:sz w:val="20"/>
        </w:rPr>
      </w:pPr>
      <w:r>
        <w:rPr>
          <w:rFonts w:ascii="TimesNewRoman" w:hAnsi="TimesNewRoman" w:cs="TimesNewRoman"/>
          <w:kern w:val="0"/>
          <w:sz w:val="20"/>
        </w:rPr>
        <w:t xml:space="preserve">                                       </w:t>
      </w:r>
      <w:r>
        <w:rPr>
          <w:rFonts w:hint="eastAsia" w:ascii="TimesNewRoman" w:hAnsi="TimesNewRoman" w:cs="TimesNewRoman"/>
          <w:kern w:val="0"/>
          <w:sz w:val="20"/>
        </w:rPr>
        <w:t xml:space="preserve">             </w:t>
      </w:r>
    </w:p>
    <w:p>
      <w:pPr>
        <w:spacing w:line="560" w:lineRule="exact"/>
        <w:jc w:val="right"/>
        <w:rPr>
          <w:rFonts w:ascii="TimesNewRoman" w:hAnsi="TimesNewRoman" w:cs="TimesNewRoman"/>
          <w:kern w:val="0"/>
          <w:sz w:val="20"/>
        </w:rPr>
        <w:sectPr>
          <w:pgSz w:w="16840" w:h="11907" w:orient="landscape"/>
          <w:pgMar w:top="1588" w:right="2098" w:bottom="1474" w:left="1985" w:header="851" w:footer="1021" w:gutter="0"/>
          <w:cols w:space="425" w:num="1"/>
          <w:docGrid w:type="lines" w:linePitch="312" w:charSpace="0"/>
        </w:sectPr>
      </w:pPr>
    </w:p>
    <w:p>
      <w:pPr>
        <w:spacing w:line="560" w:lineRule="exact"/>
        <w:jc w:val="right"/>
        <w:rPr>
          <w:rFonts w:ascii="TimesNewRoman" w:hAnsi="TimesNewRoman" w:cs="TimesNewRoman"/>
          <w:kern w:val="0"/>
          <w:sz w:val="20"/>
        </w:rPr>
      </w:pPr>
      <w:r>
        <w:rPr>
          <w:rFonts w:hint="eastAsia" w:ascii="TimesNewRoman" w:hAnsi="TimesNewRoman" w:cs="TimesNewRoman"/>
          <w:kern w:val="0"/>
          <w:sz w:val="20"/>
        </w:rPr>
        <w:t xml:space="preserve">     </w:t>
      </w:r>
      <w:r>
        <w:rPr>
          <w:rFonts w:hint="eastAsia" w:ascii="TimesNewRoman" w:hAnsi="TimesNewRoman" w:cs="TimesNewRoman"/>
          <w:kern w:val="0"/>
          <w:sz w:val="20"/>
          <w:lang w:eastAsia="zh-CN"/>
        </w:rPr>
        <w:t>部门</w:t>
      </w:r>
      <w:r>
        <w:rPr>
          <w:rFonts w:ascii="TimesNewRoman" w:hAnsi="TimesNewRoman" w:cs="TimesNewRoman"/>
          <w:kern w:val="0"/>
          <w:sz w:val="20"/>
        </w:rPr>
        <w:t>公开表3</w:t>
      </w:r>
    </w:p>
    <w:p>
      <w:pPr>
        <w:spacing w:line="560" w:lineRule="exact"/>
        <w:jc w:val="center"/>
        <w:rPr>
          <w:rFonts w:hint="eastAsia" w:ascii="TimesNewRoman" w:hAnsi="TimesNewRoman" w:cs="TimesNewRoman"/>
          <w:kern w:val="0"/>
          <w:sz w:val="20"/>
        </w:rPr>
      </w:pPr>
      <w:r>
        <w:rPr>
          <w:rFonts w:hint="eastAsia" w:ascii="宋体" w:hAnsi="宋体" w:cs="TimesNewRoman"/>
          <w:b/>
          <w:bCs/>
          <w:kern w:val="0"/>
          <w:sz w:val="28"/>
          <w:szCs w:val="32"/>
          <w:lang w:eastAsia="zh-CN"/>
        </w:rPr>
        <w:t>寿县科学技术协会</w:t>
      </w:r>
      <w:r>
        <w:rPr>
          <w:rFonts w:hint="eastAsia" w:ascii="宋体" w:hAnsi="宋体" w:cs="TimesNewRoman"/>
          <w:b/>
          <w:bCs/>
          <w:kern w:val="0"/>
          <w:sz w:val="28"/>
          <w:szCs w:val="32"/>
        </w:rPr>
        <w:t>2024</w:t>
      </w:r>
      <w:r>
        <w:rPr>
          <w:rFonts w:ascii="宋体" w:hAnsi="宋体" w:cs="TimesNewRoman"/>
          <w:b/>
          <w:bCs/>
          <w:kern w:val="0"/>
          <w:sz w:val="28"/>
          <w:szCs w:val="32"/>
        </w:rPr>
        <w:t xml:space="preserve">年支出总表                 </w:t>
      </w:r>
      <w:r>
        <w:rPr>
          <w:rFonts w:ascii="TimesNewRoman" w:hAnsi="TimesNewRoman" w:cs="TimesNewRoman"/>
          <w:kern w:val="0"/>
          <w:sz w:val="20"/>
        </w:rPr>
        <w:t xml:space="preserve">                                                                          </w:t>
      </w:r>
      <w:r>
        <w:rPr>
          <w:rFonts w:hint="eastAsia" w:ascii="TimesNewRoman" w:hAnsi="TimesNewRoman" w:cs="TimesNewRoman"/>
          <w:kern w:val="0"/>
          <w:sz w:val="20"/>
        </w:rPr>
        <w:t xml:space="preserve">                            </w:t>
      </w:r>
    </w:p>
    <w:p>
      <w:pPr>
        <w:spacing w:line="560" w:lineRule="exact"/>
        <w:jc w:val="right"/>
        <w:rPr>
          <w:rFonts w:ascii="TimesNewRoman" w:hAnsi="TimesNewRoman" w:cs="TimesNewRoman"/>
          <w:kern w:val="0"/>
          <w:sz w:val="20"/>
        </w:rPr>
      </w:pPr>
      <w:r>
        <w:rPr>
          <w:rFonts w:hint="eastAsia" w:ascii="TimesNewRoman" w:hAnsi="TimesNewRoman" w:cs="TimesNewRoman"/>
          <w:kern w:val="0"/>
          <w:sz w:val="20"/>
        </w:rPr>
        <w:t xml:space="preserve">      </w:t>
      </w:r>
      <w:r>
        <w:rPr>
          <w:rFonts w:ascii="TimesNewRoman" w:hAnsi="TimesNewRoman" w:cs="TimesNewRoman"/>
          <w:kern w:val="0"/>
          <w:sz w:val="20"/>
        </w:rPr>
        <w:t>单位：万元</w:t>
      </w:r>
    </w:p>
    <w:tbl>
      <w:tblPr>
        <w:tblStyle w:val="4"/>
        <w:tblW w:w="13703" w:type="dxa"/>
        <w:tblInd w:w="488" w:type="dxa"/>
        <w:tblLayout w:type="fixed"/>
        <w:tblCellMar>
          <w:top w:w="0" w:type="dxa"/>
          <w:left w:w="108" w:type="dxa"/>
          <w:bottom w:w="0" w:type="dxa"/>
          <w:right w:w="108" w:type="dxa"/>
        </w:tblCellMar>
      </w:tblPr>
      <w:tblGrid>
        <w:gridCol w:w="1680"/>
        <w:gridCol w:w="5430"/>
        <w:gridCol w:w="1140"/>
        <w:gridCol w:w="1140"/>
        <w:gridCol w:w="1200"/>
        <w:gridCol w:w="975"/>
        <w:gridCol w:w="885"/>
        <w:gridCol w:w="1253"/>
      </w:tblGrid>
      <w:tr>
        <w:tblPrEx>
          <w:tblLayout w:type="fixed"/>
          <w:tblCellMar>
            <w:top w:w="0" w:type="dxa"/>
            <w:left w:w="108" w:type="dxa"/>
            <w:bottom w:w="0" w:type="dxa"/>
            <w:right w:w="108" w:type="dxa"/>
          </w:tblCellMar>
        </w:tblPrEx>
        <w:trPr>
          <w:trHeight w:val="744"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w:t>
            </w:r>
          </w:p>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编码</w:t>
            </w:r>
          </w:p>
        </w:tc>
        <w:tc>
          <w:tcPr>
            <w:tcW w:w="543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科目名称</w:t>
            </w:r>
          </w:p>
        </w:tc>
        <w:tc>
          <w:tcPr>
            <w:tcW w:w="114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合计</w:t>
            </w:r>
          </w:p>
        </w:tc>
        <w:tc>
          <w:tcPr>
            <w:tcW w:w="114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基本支出</w:t>
            </w:r>
          </w:p>
        </w:tc>
        <w:tc>
          <w:tcPr>
            <w:tcW w:w="1200"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项目支出</w:t>
            </w:r>
          </w:p>
        </w:tc>
        <w:tc>
          <w:tcPr>
            <w:tcW w:w="975"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事业单位经营支出</w:t>
            </w:r>
          </w:p>
        </w:tc>
        <w:tc>
          <w:tcPr>
            <w:tcW w:w="885"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上缴上级支出</w:t>
            </w:r>
          </w:p>
        </w:tc>
        <w:tc>
          <w:tcPr>
            <w:tcW w:w="1253" w:type="dxa"/>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对附属单位补助支出</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206</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科学技术支出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90.91</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45.31</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45.60</w:t>
            </w:r>
          </w:p>
        </w:tc>
        <w:tc>
          <w:tcPr>
            <w:tcW w:w="97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88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25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　20607</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　科学技术普及</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90.91</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45.31</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45.60</w:t>
            </w:r>
          </w:p>
        </w:tc>
        <w:tc>
          <w:tcPr>
            <w:tcW w:w="97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88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25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　　2060701</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　　机构运行</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90.91</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45.31</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45.60</w:t>
            </w:r>
          </w:p>
        </w:tc>
        <w:tc>
          <w:tcPr>
            <w:tcW w:w="97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88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25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208</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社会保障和就业支出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25.52</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25.52</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20805</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行政事业单位养老支出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25.46</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25.46</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2080501</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行政单位离退休</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16.62</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16.62</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2080505</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机关事业单位基本养老保险缴费支出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5.89</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5.89</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2080506</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机关事业单位职业年金缴费支出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2.95</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2.95</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20899</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其他社会保障和就业支出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0.06</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0.06</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2089999</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其他社会保障和就业支出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0.06</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0.06</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210</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卫生健康支出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3.89</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3.89</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21011</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行政事业单位医疗</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3.89</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3.89</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2101101</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行政单位医疗</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1.95</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1.95</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2101103</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公务员医疗补助</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1.94</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1.94</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221</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住房保障支出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4.42</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4.42</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w:t>
            </w: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22102</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住房改革支出</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4.42</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4.42</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23" w:hRule="atLeast"/>
        </w:trPr>
        <w:tc>
          <w:tcPr>
            <w:tcW w:w="168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2210201</w:t>
            </w:r>
          </w:p>
        </w:tc>
        <w:tc>
          <w:tcPr>
            <w:tcW w:w="543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住房公积金</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4.42</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4.42</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97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8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1253"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23" w:hRule="atLeast"/>
        </w:trPr>
        <w:tc>
          <w:tcPr>
            <w:tcW w:w="7110" w:type="dxa"/>
            <w:gridSpan w:val="2"/>
            <w:tcBorders>
              <w:top w:val="nil"/>
              <w:left w:val="single" w:color="auto" w:sz="4" w:space="0"/>
              <w:bottom w:val="single" w:color="auto" w:sz="4" w:space="0"/>
              <w:right w:val="single" w:color="auto" w:sz="4" w:space="0"/>
            </w:tcBorders>
            <w:noWrap w:val="0"/>
            <w:vAlign w:val="center"/>
          </w:tcPr>
          <w:p>
            <w:pPr>
              <w:widowControl/>
              <w:spacing w:line="260" w:lineRule="exact"/>
              <w:jc w:val="center"/>
              <w:rPr>
                <w:rFonts w:ascii="TimesNewRoman" w:hAnsi="TimesNewRoman" w:cs="TimesNewRoman"/>
                <w:b/>
                <w:bCs/>
                <w:kern w:val="0"/>
                <w:sz w:val="18"/>
                <w:szCs w:val="18"/>
              </w:rPr>
            </w:pPr>
            <w:r>
              <w:rPr>
                <w:rFonts w:hint="eastAsia" w:ascii="TimesNewRoman" w:hAnsi="TimesNewRoman" w:cs="TimesNewRoman"/>
                <w:b/>
                <w:bCs/>
                <w:kern w:val="0"/>
                <w:sz w:val="18"/>
                <w:szCs w:val="18"/>
              </w:rPr>
              <w:t>总</w:t>
            </w:r>
            <w:r>
              <w:rPr>
                <w:rFonts w:ascii="TimesNewRoman" w:hAnsi="TimesNewRoman" w:cs="TimesNewRoman"/>
                <w:b/>
                <w:bCs/>
                <w:kern w:val="0"/>
                <w:sz w:val="18"/>
                <w:szCs w:val="18"/>
              </w:rPr>
              <w:t xml:space="preserve"> 计</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124.74</w:t>
            </w:r>
          </w:p>
        </w:tc>
        <w:tc>
          <w:tcPr>
            <w:tcW w:w="114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79.14</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45.60</w:t>
            </w:r>
          </w:p>
        </w:tc>
        <w:tc>
          <w:tcPr>
            <w:tcW w:w="97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885"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1253" w:type="dxa"/>
            <w:tcBorders>
              <w:top w:val="nil"/>
              <w:left w:val="nil"/>
              <w:bottom w:val="single" w:color="auto" w:sz="4" w:space="0"/>
              <w:right w:val="single" w:color="auto" w:sz="4" w:space="0"/>
            </w:tcBorders>
            <w:noWrap w:val="0"/>
            <w:vAlign w:val="center"/>
          </w:tcPr>
          <w:p>
            <w:pPr>
              <w:widowControl/>
              <w:spacing w:line="26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r>
    </w:tbl>
    <w:p>
      <w:pPr>
        <w:spacing w:line="560" w:lineRule="exact"/>
        <w:rPr>
          <w:rFonts w:ascii="TimesNewRoman" w:hAnsi="TimesNewRoman" w:cs="TimesNewRoman"/>
          <w:kern w:val="0"/>
          <w:sz w:val="20"/>
        </w:rPr>
        <w:sectPr>
          <w:pgSz w:w="16840" w:h="11907" w:orient="landscape"/>
          <w:pgMar w:top="1588" w:right="1389" w:bottom="1474" w:left="1418" w:header="851" w:footer="1021" w:gutter="0"/>
          <w:cols w:space="425" w:num="1"/>
          <w:docGrid w:type="linesAndChars" w:linePitch="312" w:charSpace="0"/>
        </w:sect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imesNewRoman" w:hAnsi="TimesNewRoman" w:cs="TimesNewRoman"/>
          <w:kern w:val="0"/>
          <w:sz w:val="20"/>
        </w:rPr>
      </w:pPr>
      <w:r>
        <w:rPr>
          <w:rFonts w:ascii="TimesNewRoman" w:hAnsi="TimesNewRoman" w:cs="TimesNewRoman"/>
          <w:kern w:val="0"/>
          <w:sz w:val="20"/>
        </w:rPr>
        <w:t xml:space="preserve">                                                             </w:t>
      </w:r>
      <w:r>
        <w:rPr>
          <w:rFonts w:hint="eastAsia" w:ascii="TimesNewRoman" w:hAnsi="TimesNewRoman" w:cs="TimesNewRoman"/>
          <w:kern w:val="0"/>
          <w:sz w:val="20"/>
        </w:rPr>
        <w:t xml:space="preserve">    </w:t>
      </w:r>
      <w:r>
        <w:rPr>
          <w:rFonts w:hint="eastAsia" w:ascii="TimesNewRoman" w:hAnsi="TimesNewRoman" w:cs="TimesNewRoman"/>
          <w:kern w:val="0"/>
          <w:sz w:val="20"/>
          <w:lang w:eastAsia="zh-CN"/>
        </w:rPr>
        <w:t>部门</w:t>
      </w:r>
      <w:r>
        <w:rPr>
          <w:rFonts w:ascii="TimesNewRoman" w:hAnsi="TimesNewRoman" w:cs="TimesNewRoman"/>
          <w:kern w:val="0"/>
          <w:sz w:val="20"/>
        </w:rPr>
        <w:t>公开表4</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宋体" w:hAnsi="宋体" w:cs="TimesNewRoman"/>
          <w:b/>
          <w:bCs/>
          <w:kern w:val="0"/>
          <w:sz w:val="28"/>
          <w:szCs w:val="32"/>
        </w:rPr>
      </w:pPr>
      <w:r>
        <w:rPr>
          <w:rFonts w:hint="eastAsia" w:ascii="宋体" w:hAnsi="宋体" w:cs="TimesNewRoman"/>
          <w:b/>
          <w:bCs/>
          <w:kern w:val="0"/>
          <w:sz w:val="28"/>
          <w:szCs w:val="32"/>
          <w:lang w:eastAsia="zh-CN"/>
        </w:rPr>
        <w:t>寿县科学技术协会</w:t>
      </w:r>
      <w:r>
        <w:rPr>
          <w:rFonts w:hint="eastAsia" w:ascii="宋体" w:hAnsi="宋体" w:cs="TimesNewRoman"/>
          <w:b/>
          <w:bCs/>
          <w:kern w:val="0"/>
          <w:sz w:val="28"/>
          <w:szCs w:val="32"/>
        </w:rPr>
        <w:t>2024</w:t>
      </w:r>
      <w:r>
        <w:rPr>
          <w:rFonts w:ascii="宋体" w:hAnsi="宋体" w:cs="TimesNewRoman"/>
          <w:b/>
          <w:bCs/>
          <w:kern w:val="0"/>
          <w:sz w:val="28"/>
          <w:szCs w:val="32"/>
        </w:rPr>
        <w:t>年财政拨款收支总表</w:t>
      </w:r>
    </w:p>
    <w:p>
      <w:pPr>
        <w:keepNext w:val="0"/>
        <w:keepLines w:val="0"/>
        <w:pageBreakBefore w:val="0"/>
        <w:widowControl w:val="0"/>
        <w:kinsoku/>
        <w:wordWrap/>
        <w:overflowPunct/>
        <w:topLinePunct w:val="0"/>
        <w:autoSpaceDE/>
        <w:autoSpaceDN/>
        <w:bidi w:val="0"/>
        <w:adjustRightInd/>
        <w:snapToGrid/>
        <w:spacing w:line="520" w:lineRule="exact"/>
        <w:ind w:left="7400" w:hanging="7400" w:hangingChars="3700"/>
        <w:textAlignment w:val="auto"/>
        <w:rPr>
          <w:rFonts w:ascii="TimesNewRoman" w:hAnsi="TimesNewRoman" w:cs="TimesNewRoman"/>
          <w:kern w:val="0"/>
          <w:sz w:val="20"/>
        </w:rPr>
      </w:pPr>
      <w:r>
        <w:rPr>
          <w:rFonts w:ascii="TimesNewRoman" w:hAnsi="TimesNewRoman" w:cs="TimesNewRoman"/>
          <w:kern w:val="0"/>
          <w:sz w:val="20"/>
        </w:rPr>
        <w:t xml:space="preserve">                                                                    单位：万元</w:t>
      </w:r>
    </w:p>
    <w:tbl>
      <w:tblPr>
        <w:tblStyle w:val="4"/>
        <w:tblW w:w="9274" w:type="dxa"/>
        <w:tblInd w:w="0" w:type="dxa"/>
        <w:tblLayout w:type="fixed"/>
        <w:tblCellMar>
          <w:top w:w="0" w:type="dxa"/>
          <w:left w:w="108" w:type="dxa"/>
          <w:bottom w:w="0" w:type="dxa"/>
          <w:right w:w="108" w:type="dxa"/>
        </w:tblCellMar>
      </w:tblPr>
      <w:tblGrid>
        <w:gridCol w:w="2995"/>
        <w:gridCol w:w="1167"/>
        <w:gridCol w:w="3821"/>
        <w:gridCol w:w="1291"/>
      </w:tblGrid>
      <w:tr>
        <w:tblPrEx>
          <w:tblLayout w:type="fixed"/>
          <w:tblCellMar>
            <w:top w:w="0" w:type="dxa"/>
            <w:left w:w="108" w:type="dxa"/>
            <w:bottom w:w="0" w:type="dxa"/>
            <w:right w:w="108" w:type="dxa"/>
          </w:tblCellMar>
        </w:tblPrEx>
        <w:trPr>
          <w:trHeight w:val="167" w:hRule="atLeast"/>
        </w:trPr>
        <w:tc>
          <w:tcPr>
            <w:tcW w:w="4162"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收      入</w:t>
            </w:r>
          </w:p>
        </w:tc>
        <w:tc>
          <w:tcPr>
            <w:tcW w:w="5112"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支      出</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项目</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预算数</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项目</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预算数</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一、本年收入</w:t>
            </w:r>
          </w:p>
        </w:tc>
        <w:tc>
          <w:tcPr>
            <w:tcW w:w="1167"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18"/>
                <w:szCs w:val="18"/>
                <w:u w:val="none"/>
                <w:lang w:val="en-US" w:eastAsia="zh-CN" w:bidi="ar"/>
              </w:rPr>
              <w:t>124.74</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一、本年支出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18"/>
                <w:szCs w:val="18"/>
              </w:rPr>
            </w:pPr>
            <w:r>
              <w:rPr>
                <w:rFonts w:hint="eastAsia" w:ascii="宋体" w:hAnsi="宋体" w:eastAsia="宋体" w:cs="宋体"/>
                <w:i w:val="0"/>
                <w:color w:val="000000"/>
                <w:kern w:val="0"/>
                <w:sz w:val="18"/>
                <w:szCs w:val="18"/>
                <w:u w:val="none"/>
                <w:lang w:val="en-US" w:eastAsia="zh-CN" w:bidi="ar"/>
              </w:rPr>
              <w:t>124.74</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（一）一般公共预算拨款</w:t>
            </w:r>
          </w:p>
        </w:tc>
        <w:tc>
          <w:tcPr>
            <w:tcW w:w="1167"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124.74</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（一）一般公共服务支出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（二）政府性基金预算拨款</w:t>
            </w:r>
          </w:p>
        </w:tc>
        <w:tc>
          <w:tcPr>
            <w:tcW w:w="1167"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（二）外交支出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（三）国有资本经营预算拨款</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（三）国防支出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（四）公共安全支出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二、上年结转</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（五）教育支出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（一）一般公共预算拨款</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（六）科学技术支出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90.91</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（二）政府性基金预算拨款</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nil"/>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（七）文化旅游体育与传媒支出</w:t>
            </w:r>
          </w:p>
        </w:tc>
        <w:tc>
          <w:tcPr>
            <w:tcW w:w="1291"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（三）国有资本经营预算拨款</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p>
        </w:tc>
        <w:tc>
          <w:tcPr>
            <w:tcW w:w="3821" w:type="dxa"/>
            <w:tcBorders>
              <w:top w:val="nil"/>
              <w:left w:val="nil"/>
              <w:bottom w:val="single" w:color="auto" w:sz="4" w:space="0"/>
              <w:right w:val="nil"/>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（八）社会保障和就业支出</w:t>
            </w:r>
          </w:p>
        </w:tc>
        <w:tc>
          <w:tcPr>
            <w:tcW w:w="1291"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25.52</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nil"/>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（九）卫生健康支出</w:t>
            </w:r>
          </w:p>
        </w:tc>
        <w:tc>
          <w:tcPr>
            <w:tcW w:w="1291"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3.89</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nil"/>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（十）节能环保支出</w:t>
            </w:r>
          </w:p>
        </w:tc>
        <w:tc>
          <w:tcPr>
            <w:tcW w:w="1291"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nil"/>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（十一）城乡社区支出</w:t>
            </w:r>
          </w:p>
        </w:tc>
        <w:tc>
          <w:tcPr>
            <w:tcW w:w="1291"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nil"/>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（十二）农林水支出</w:t>
            </w:r>
          </w:p>
        </w:tc>
        <w:tc>
          <w:tcPr>
            <w:tcW w:w="1291"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nil"/>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（十三）交通运输支出</w:t>
            </w:r>
          </w:p>
        </w:tc>
        <w:tc>
          <w:tcPr>
            <w:tcW w:w="1291"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（十四）资源勘探工业信息等支出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（十五）商业服务业等支出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（十六）金融支出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（十七）援助其他地区支出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（十八）自然资源海洋气象等支出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（十九）住房保障支出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4.42</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（二十）粮油物资储备支出</w:t>
            </w:r>
          </w:p>
        </w:tc>
        <w:tc>
          <w:tcPr>
            <w:tcW w:w="1291"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（二十一）灾害防治及应急管理支出</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（二十二）预备费</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（二十三）其他支出</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（二十四）转移性支出</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（二十五）债务还本支出</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（二十六）债务付息支出</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（二十七）债务发行费用支出</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二、年终结转结余</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（一）一般公共预算结转结余</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（二）政府性基金预算结转结余</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（三）国有资本经营预算结转结余</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90"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167" w:hRule="atLeast"/>
        </w:trPr>
        <w:tc>
          <w:tcPr>
            <w:tcW w:w="2995"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收    入    总    计</w:t>
            </w:r>
          </w:p>
        </w:tc>
        <w:tc>
          <w:tcPr>
            <w:tcW w:w="1167"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124.74</w:t>
            </w:r>
            <w:r>
              <w:rPr>
                <w:rFonts w:ascii="TimesNewRoman" w:hAnsi="TimesNewRoman" w:cs="TimesNewRoman"/>
                <w:b/>
                <w:bCs/>
                <w:kern w:val="0"/>
                <w:sz w:val="18"/>
                <w:szCs w:val="18"/>
              </w:rPr>
              <w:t>　</w:t>
            </w:r>
          </w:p>
        </w:tc>
        <w:tc>
          <w:tcPr>
            <w:tcW w:w="3821"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支    出    总    计</w:t>
            </w:r>
          </w:p>
        </w:tc>
        <w:tc>
          <w:tcPr>
            <w:tcW w:w="1291"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124.74</w:t>
            </w:r>
            <w:r>
              <w:rPr>
                <w:rFonts w:ascii="TimesNewRoman" w:hAnsi="TimesNewRoman" w:cs="TimesNewRoman"/>
                <w:kern w:val="0"/>
                <w:sz w:val="18"/>
                <w:szCs w:val="18"/>
              </w:rPr>
              <w:t>　</w:t>
            </w:r>
          </w:p>
        </w:tc>
      </w:tr>
    </w:tbl>
    <w:p>
      <w:pPr>
        <w:spacing w:line="560" w:lineRule="exact"/>
        <w:jc w:val="right"/>
        <w:rPr>
          <w:rFonts w:ascii="TimesNewRoman" w:hAnsi="TimesNewRoman" w:cs="TimesNewRoman"/>
          <w:kern w:val="0"/>
          <w:sz w:val="20"/>
        </w:rPr>
        <w:sectPr>
          <w:pgSz w:w="11907" w:h="16840"/>
          <w:pgMar w:top="2098" w:right="1474" w:bottom="1985" w:left="1588" w:header="851" w:footer="1021" w:gutter="0"/>
          <w:cols w:space="425" w:num="1"/>
          <w:docGrid w:type="lines" w:linePitch="312" w:charSpace="0"/>
        </w:sectPr>
      </w:pPr>
    </w:p>
    <w:p>
      <w:pPr>
        <w:keepNext w:val="0"/>
        <w:keepLines w:val="0"/>
        <w:pageBreakBefore w:val="0"/>
        <w:kinsoku/>
        <w:wordWrap/>
        <w:overflowPunct/>
        <w:topLinePunct w:val="0"/>
        <w:autoSpaceDE/>
        <w:autoSpaceDN/>
        <w:bidi w:val="0"/>
        <w:adjustRightInd w:val="0"/>
        <w:snapToGrid w:val="0"/>
        <w:spacing w:line="460" w:lineRule="exact"/>
        <w:jc w:val="right"/>
        <w:textAlignment w:val="auto"/>
        <w:rPr>
          <w:rFonts w:ascii="TimesNewRoman" w:hAnsi="TimesNewRoman" w:cs="TimesNewRoman"/>
          <w:kern w:val="0"/>
          <w:sz w:val="20"/>
        </w:rPr>
      </w:pPr>
      <w:r>
        <w:rPr>
          <w:rFonts w:hint="eastAsia" w:ascii="TimesNewRoman" w:hAnsi="TimesNewRoman" w:cs="TimesNewRoman"/>
          <w:kern w:val="0"/>
          <w:sz w:val="20"/>
          <w:lang w:eastAsia="zh-CN"/>
        </w:rPr>
        <w:t>部门</w:t>
      </w:r>
      <w:r>
        <w:rPr>
          <w:rFonts w:ascii="TimesNewRoman" w:hAnsi="TimesNewRoman" w:cs="TimesNewRoman"/>
          <w:kern w:val="0"/>
          <w:sz w:val="20"/>
        </w:rPr>
        <w:t>公开表5</w:t>
      </w:r>
    </w:p>
    <w:p>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ascii="TimesNewRoman" w:hAnsi="TimesNewRoman" w:eastAsia="华文中宋" w:cs="TimesNewRoman"/>
          <w:b/>
          <w:bCs/>
          <w:kern w:val="0"/>
          <w:sz w:val="30"/>
          <w:szCs w:val="30"/>
        </w:rPr>
      </w:pPr>
      <w:r>
        <w:rPr>
          <w:rFonts w:hint="eastAsia" w:ascii="TimesNewRoman" w:hAnsi="TimesNewRoman" w:eastAsia="华文中宋" w:cs="TimesNewRoman"/>
          <w:b/>
          <w:bCs/>
          <w:kern w:val="0"/>
          <w:sz w:val="30"/>
          <w:szCs w:val="30"/>
        </w:rPr>
        <w:t xml:space="preserve">  </w:t>
      </w:r>
      <w:r>
        <w:rPr>
          <w:rFonts w:hint="eastAsia" w:ascii="TimesNewRoman" w:hAnsi="TimesNewRoman" w:eastAsia="华文中宋" w:cs="TimesNewRoman"/>
          <w:b/>
          <w:bCs/>
          <w:kern w:val="0"/>
          <w:sz w:val="30"/>
          <w:szCs w:val="30"/>
          <w:lang w:eastAsia="zh-CN"/>
        </w:rPr>
        <w:t>寿县科学技术协会</w:t>
      </w:r>
      <w:r>
        <w:rPr>
          <w:rFonts w:hint="eastAsia" w:ascii="TimesNewRoman" w:hAnsi="TimesNewRoman" w:eastAsia="华文中宋" w:cs="TimesNewRoman"/>
          <w:b/>
          <w:bCs/>
          <w:kern w:val="0"/>
          <w:sz w:val="30"/>
          <w:szCs w:val="30"/>
        </w:rPr>
        <w:t>2024</w:t>
      </w:r>
      <w:r>
        <w:rPr>
          <w:rFonts w:ascii="TimesNewRoman" w:hAnsi="TimesNewRoman" w:eastAsia="华文中宋" w:cs="TimesNewRoman"/>
          <w:b/>
          <w:bCs/>
          <w:kern w:val="0"/>
          <w:sz w:val="30"/>
          <w:szCs w:val="30"/>
        </w:rPr>
        <w:t>年一般公共预算支出表</w:t>
      </w:r>
    </w:p>
    <w:p>
      <w:pPr>
        <w:keepNext w:val="0"/>
        <w:keepLines w:val="0"/>
        <w:pageBreakBefore w:val="0"/>
        <w:kinsoku/>
        <w:wordWrap/>
        <w:overflowPunct/>
        <w:topLinePunct w:val="0"/>
        <w:autoSpaceDE/>
        <w:autoSpaceDN/>
        <w:bidi w:val="0"/>
        <w:adjustRightInd w:val="0"/>
        <w:snapToGrid w:val="0"/>
        <w:spacing w:line="460" w:lineRule="exact"/>
        <w:ind w:left="7400" w:hanging="7400" w:hangingChars="3700"/>
        <w:textAlignment w:val="auto"/>
        <w:rPr>
          <w:rFonts w:ascii="TimesNewRoman" w:hAnsi="TimesNewRoman" w:cs="TimesNewRoman"/>
          <w:kern w:val="0"/>
          <w:sz w:val="20"/>
        </w:rPr>
      </w:pPr>
      <w:r>
        <w:rPr>
          <w:rFonts w:ascii="TimesNewRoman" w:hAnsi="TimesNewRoman" w:cs="TimesNewRoman"/>
          <w:kern w:val="0"/>
          <w:sz w:val="20"/>
        </w:rPr>
        <w:t xml:space="preserve">                                                                       单位：万元</w:t>
      </w:r>
    </w:p>
    <w:tbl>
      <w:tblPr>
        <w:tblStyle w:val="4"/>
        <w:tblW w:w="13840" w:type="dxa"/>
        <w:tblInd w:w="0" w:type="dxa"/>
        <w:tblLayout w:type="fixed"/>
        <w:tblCellMar>
          <w:top w:w="0" w:type="dxa"/>
          <w:left w:w="108" w:type="dxa"/>
          <w:bottom w:w="0" w:type="dxa"/>
          <w:right w:w="108" w:type="dxa"/>
        </w:tblCellMar>
      </w:tblPr>
      <w:tblGrid>
        <w:gridCol w:w="1603"/>
        <w:gridCol w:w="4482"/>
        <w:gridCol w:w="1303"/>
        <w:gridCol w:w="1287"/>
        <w:gridCol w:w="1752"/>
        <w:gridCol w:w="1706"/>
        <w:gridCol w:w="1707"/>
      </w:tblGrid>
      <w:tr>
        <w:tblPrEx>
          <w:tblLayout w:type="fixed"/>
          <w:tblCellMar>
            <w:top w:w="0" w:type="dxa"/>
            <w:left w:w="108" w:type="dxa"/>
            <w:bottom w:w="0" w:type="dxa"/>
            <w:right w:w="108" w:type="dxa"/>
          </w:tblCellMar>
        </w:tblPrEx>
        <w:trPr>
          <w:trHeight w:val="383" w:hRule="atLeast"/>
        </w:trPr>
        <w:tc>
          <w:tcPr>
            <w:tcW w:w="1603" w:type="dxa"/>
            <w:vMerge w:val="restart"/>
            <w:tcBorders>
              <w:top w:val="single" w:color="auto" w:sz="4" w:space="0"/>
              <w:left w:val="single" w:color="auto" w:sz="4" w:space="0"/>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w:t>
            </w:r>
          </w:p>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编码</w:t>
            </w:r>
          </w:p>
        </w:tc>
        <w:tc>
          <w:tcPr>
            <w:tcW w:w="4482" w:type="dxa"/>
            <w:vMerge w:val="restart"/>
            <w:tcBorders>
              <w:top w:val="single" w:color="auto" w:sz="4" w:space="0"/>
              <w:left w:val="single" w:color="auto" w:sz="4" w:space="0"/>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科目名称</w:t>
            </w:r>
          </w:p>
        </w:tc>
        <w:tc>
          <w:tcPr>
            <w:tcW w:w="1303"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合计</w:t>
            </w:r>
          </w:p>
        </w:tc>
        <w:tc>
          <w:tcPr>
            <w:tcW w:w="4745"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基本支出</w:t>
            </w:r>
          </w:p>
        </w:tc>
        <w:tc>
          <w:tcPr>
            <w:tcW w:w="1707" w:type="dxa"/>
            <w:vMerge w:val="restart"/>
            <w:tcBorders>
              <w:top w:val="single" w:color="auto" w:sz="4" w:space="0"/>
              <w:left w:val="single" w:color="auto" w:sz="4" w:space="0"/>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项目支出</w:t>
            </w:r>
          </w:p>
        </w:tc>
      </w:tr>
      <w:tr>
        <w:tblPrEx>
          <w:tblLayout w:type="fixed"/>
          <w:tblCellMar>
            <w:top w:w="0" w:type="dxa"/>
            <w:left w:w="108" w:type="dxa"/>
            <w:bottom w:w="0" w:type="dxa"/>
            <w:right w:w="108" w:type="dxa"/>
          </w:tblCellMar>
        </w:tblPrEx>
        <w:trPr>
          <w:trHeight w:val="383" w:hRule="atLeast"/>
        </w:trPr>
        <w:tc>
          <w:tcPr>
            <w:tcW w:w="1603" w:type="dxa"/>
            <w:vMerge w:val="continue"/>
            <w:tcBorders>
              <w:top w:val="single" w:color="auto" w:sz="4" w:space="0"/>
              <w:left w:val="single" w:color="auto" w:sz="4" w:space="0"/>
              <w:bottom w:val="nil"/>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4482" w:type="dxa"/>
            <w:vMerge w:val="continue"/>
            <w:tcBorders>
              <w:top w:val="single" w:color="auto" w:sz="4" w:space="0"/>
              <w:left w:val="single" w:color="auto" w:sz="4" w:space="0"/>
              <w:bottom w:val="nil"/>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1303"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1287"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小计</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人员经费</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公用经费</w:t>
            </w:r>
          </w:p>
        </w:tc>
        <w:tc>
          <w:tcPr>
            <w:tcW w:w="1707" w:type="dxa"/>
            <w:vMerge w:val="continue"/>
            <w:tcBorders>
              <w:top w:val="single" w:color="auto" w:sz="4" w:space="0"/>
              <w:left w:val="single" w:color="auto" w:sz="4" w:space="0"/>
              <w:bottom w:val="nil"/>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206</w:t>
            </w:r>
          </w:p>
        </w:tc>
        <w:tc>
          <w:tcPr>
            <w:tcW w:w="4482"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科学技术支出</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90.91</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45.31</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36.83</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8.47</w:t>
            </w:r>
          </w:p>
        </w:tc>
        <w:tc>
          <w:tcPr>
            <w:tcW w:w="1707" w:type="dxa"/>
            <w:tcBorders>
              <w:top w:val="single" w:color="auto" w:sz="4" w:space="0"/>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45.60</w:t>
            </w: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20607</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科学技术普及</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90.91</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45.31</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36.83</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8.47</w:t>
            </w: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45.60</w:t>
            </w: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2060701</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机构运行</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90.91</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45.31</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36.83</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8.47</w:t>
            </w: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45.60</w:t>
            </w: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208</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社会保障和就业支出</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25.52</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25.52</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25.52</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20805</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行政事业单位养老支出</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25.46</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25.46</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25.46</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2080501</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行政单位离退休</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16.62</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16.62</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16.62</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2080505</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机关事业单位基本养老保险缴费支出</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5.89</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5.89</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5.89</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2080506</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机关事业单位职业年金缴费支出</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2.95</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2.95</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2.95</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20899</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其他社会保障和就业支出</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0.06</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0.06</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0.06</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2089999</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其他社会保障和就业支出</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0.06</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0.06</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0.06</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210</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卫生健康支出</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3.89</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3.89</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3.89</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21011</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行政事业单位医疗</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3.89</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3.89</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3.89</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2101101</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行政单位医疗</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1.95</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1.95</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1.95</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2101103</w:t>
            </w:r>
          </w:p>
        </w:tc>
        <w:tc>
          <w:tcPr>
            <w:tcW w:w="448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　　公务员医疗补助</w:t>
            </w:r>
          </w:p>
        </w:tc>
        <w:tc>
          <w:tcPr>
            <w:tcW w:w="1303"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1.94</w:t>
            </w:r>
          </w:p>
        </w:tc>
        <w:tc>
          <w:tcPr>
            <w:tcW w:w="128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1.94</w:t>
            </w:r>
          </w:p>
        </w:tc>
        <w:tc>
          <w:tcPr>
            <w:tcW w:w="1752"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lang w:val="en-US" w:eastAsia="zh-CN"/>
              </w:rPr>
              <w:t>1.94</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righ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221</w:t>
            </w:r>
          </w:p>
        </w:tc>
        <w:tc>
          <w:tcPr>
            <w:tcW w:w="4482"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住房保障支出</w:t>
            </w:r>
          </w:p>
        </w:tc>
        <w:tc>
          <w:tcPr>
            <w:tcW w:w="130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4.42</w:t>
            </w:r>
          </w:p>
        </w:tc>
        <w:tc>
          <w:tcPr>
            <w:tcW w:w="1287"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4.42</w:t>
            </w:r>
          </w:p>
        </w:tc>
        <w:tc>
          <w:tcPr>
            <w:tcW w:w="1752"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4.42</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　22102</w:t>
            </w:r>
          </w:p>
        </w:tc>
        <w:tc>
          <w:tcPr>
            <w:tcW w:w="4482"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　住房改革支出</w:t>
            </w:r>
          </w:p>
        </w:tc>
        <w:tc>
          <w:tcPr>
            <w:tcW w:w="130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4.42</w:t>
            </w:r>
          </w:p>
        </w:tc>
        <w:tc>
          <w:tcPr>
            <w:tcW w:w="1287"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4.42</w:t>
            </w:r>
          </w:p>
        </w:tc>
        <w:tc>
          <w:tcPr>
            <w:tcW w:w="1752"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4.42</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1603"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　　2210201</w:t>
            </w:r>
          </w:p>
        </w:tc>
        <w:tc>
          <w:tcPr>
            <w:tcW w:w="4482"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　　住房公积金</w:t>
            </w:r>
          </w:p>
        </w:tc>
        <w:tc>
          <w:tcPr>
            <w:tcW w:w="130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4.42</w:t>
            </w:r>
          </w:p>
        </w:tc>
        <w:tc>
          <w:tcPr>
            <w:tcW w:w="1287"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4.42</w:t>
            </w:r>
          </w:p>
        </w:tc>
        <w:tc>
          <w:tcPr>
            <w:tcW w:w="1752"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18"/>
                <w:szCs w:val="18"/>
                <w:lang w:val="en-US" w:eastAsia="zh-CN"/>
              </w:rPr>
            </w:pPr>
            <w:r>
              <w:rPr>
                <w:rFonts w:hint="eastAsia" w:ascii="宋体" w:hAnsi="宋体" w:eastAsia="宋体" w:cs="宋体"/>
                <w:i w:val="0"/>
                <w:color w:val="000000"/>
                <w:kern w:val="0"/>
                <w:sz w:val="20"/>
                <w:szCs w:val="20"/>
                <w:u w:val="none"/>
                <w:lang w:val="en-US" w:eastAsia="zh-CN" w:bidi="ar"/>
              </w:rPr>
              <w:t>4.42</w:t>
            </w:r>
          </w:p>
        </w:tc>
        <w:tc>
          <w:tcPr>
            <w:tcW w:w="1706"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p>
        </w:tc>
        <w:tc>
          <w:tcPr>
            <w:tcW w:w="170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Theme="minorEastAsia" w:hAnsiTheme="minorEastAsia" w:eastAsiaTheme="minorEastAsia" w:cstheme="minorEastAsia"/>
                <w:kern w:val="0"/>
                <w:sz w:val="18"/>
                <w:szCs w:val="18"/>
              </w:rPr>
            </w:pPr>
          </w:p>
        </w:tc>
      </w:tr>
      <w:tr>
        <w:tblPrEx>
          <w:tblLayout w:type="fixed"/>
          <w:tblCellMar>
            <w:top w:w="0" w:type="dxa"/>
            <w:left w:w="108" w:type="dxa"/>
            <w:bottom w:w="0" w:type="dxa"/>
            <w:right w:w="108" w:type="dxa"/>
          </w:tblCellMar>
        </w:tblPrEx>
        <w:trPr>
          <w:trHeight w:val="329" w:hRule="atLeast"/>
        </w:trPr>
        <w:tc>
          <w:tcPr>
            <w:tcW w:w="6085" w:type="dxa"/>
            <w:gridSpan w:val="2"/>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hint="eastAsia" w:ascii="TimesNewRoman" w:hAnsi="TimesNewRoman" w:cs="TimesNewRoman"/>
                <w:b/>
                <w:bCs/>
                <w:kern w:val="0"/>
                <w:sz w:val="18"/>
                <w:szCs w:val="18"/>
              </w:rPr>
              <w:t>总</w:t>
            </w:r>
            <w:r>
              <w:rPr>
                <w:rFonts w:ascii="TimesNewRoman" w:hAnsi="TimesNewRoman" w:cs="TimesNewRoman"/>
                <w:b/>
                <w:bCs/>
                <w:kern w:val="0"/>
                <w:sz w:val="18"/>
                <w:szCs w:val="18"/>
              </w:rPr>
              <w:t xml:space="preserve"> 计</w:t>
            </w:r>
          </w:p>
        </w:tc>
        <w:tc>
          <w:tcPr>
            <w:tcW w:w="130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124.74</w:t>
            </w:r>
          </w:p>
        </w:tc>
        <w:tc>
          <w:tcPr>
            <w:tcW w:w="1287"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79.14</w:t>
            </w:r>
          </w:p>
        </w:tc>
        <w:tc>
          <w:tcPr>
            <w:tcW w:w="1752"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70.67</w:t>
            </w:r>
          </w:p>
        </w:tc>
        <w:tc>
          <w:tcPr>
            <w:tcW w:w="1706"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8.47</w:t>
            </w:r>
          </w:p>
        </w:tc>
        <w:tc>
          <w:tcPr>
            <w:tcW w:w="1707"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45.60</w:t>
            </w:r>
          </w:p>
        </w:tc>
      </w:tr>
    </w:tbl>
    <w:p>
      <w:pPr>
        <w:spacing w:line="560" w:lineRule="exact"/>
        <w:ind w:left="903" w:leftChars="430"/>
        <w:jc w:val="right"/>
        <w:rPr>
          <w:rFonts w:hint="eastAsia" w:ascii="TimesNewRoman" w:hAnsi="TimesNewRoman" w:cs="TimesNewRoman"/>
          <w:kern w:val="0"/>
          <w:sz w:val="20"/>
          <w:lang w:eastAsia="zh-CN"/>
        </w:rPr>
        <w:sectPr>
          <w:pgSz w:w="16840" w:h="11907" w:orient="landscape"/>
          <w:pgMar w:top="1588" w:right="1531" w:bottom="1474" w:left="1560" w:header="851" w:footer="1021" w:gutter="0"/>
          <w:cols w:space="425" w:num="1"/>
          <w:docGrid w:type="linesAndChars" w:linePitch="312" w:charSpace="0"/>
        </w:sectPr>
      </w:pPr>
    </w:p>
    <w:p>
      <w:pPr>
        <w:spacing w:line="560" w:lineRule="exact"/>
        <w:ind w:left="903" w:leftChars="430"/>
        <w:jc w:val="right"/>
        <w:rPr>
          <w:rFonts w:ascii="TimesNewRoman" w:hAnsi="TimesNewRoman" w:cs="TimesNewRoman"/>
          <w:kern w:val="0"/>
          <w:sz w:val="20"/>
        </w:rPr>
      </w:pPr>
      <w:r>
        <w:rPr>
          <w:rFonts w:hint="eastAsia" w:ascii="TimesNewRoman" w:hAnsi="TimesNewRoman" w:cs="TimesNewRoman"/>
          <w:kern w:val="0"/>
          <w:sz w:val="20"/>
          <w:lang w:eastAsia="zh-CN"/>
        </w:rPr>
        <w:t>部门</w:t>
      </w:r>
      <w:r>
        <w:rPr>
          <w:rFonts w:ascii="TimesNewRoman" w:hAnsi="TimesNewRoman" w:cs="TimesNewRoman"/>
          <w:kern w:val="0"/>
          <w:sz w:val="20"/>
        </w:rPr>
        <w:t>公开表6</w:t>
      </w:r>
    </w:p>
    <w:p>
      <w:pPr>
        <w:spacing w:line="560" w:lineRule="exact"/>
        <w:jc w:val="center"/>
        <w:rPr>
          <w:rFonts w:ascii="宋体" w:hAnsi="宋体" w:cs="TimesNewRoman"/>
          <w:b/>
          <w:bCs/>
          <w:kern w:val="0"/>
          <w:sz w:val="28"/>
          <w:szCs w:val="32"/>
        </w:rPr>
      </w:pPr>
      <w:r>
        <w:rPr>
          <w:rFonts w:hint="eastAsia" w:ascii="宋体" w:hAnsi="宋体" w:cs="TimesNewRoman"/>
          <w:b/>
          <w:bCs/>
          <w:kern w:val="0"/>
          <w:sz w:val="28"/>
          <w:szCs w:val="32"/>
          <w:lang w:eastAsia="zh-CN"/>
        </w:rPr>
        <w:t>寿县科学技术协会</w:t>
      </w:r>
      <w:r>
        <w:rPr>
          <w:rFonts w:hint="eastAsia" w:ascii="宋体" w:hAnsi="宋体" w:cs="TimesNewRoman"/>
          <w:b/>
          <w:bCs/>
          <w:kern w:val="0"/>
          <w:sz w:val="28"/>
          <w:szCs w:val="32"/>
        </w:rPr>
        <w:t>2024</w:t>
      </w:r>
      <w:r>
        <w:rPr>
          <w:rFonts w:ascii="宋体" w:hAnsi="宋体" w:cs="TimesNewRoman"/>
          <w:b/>
          <w:bCs/>
          <w:kern w:val="0"/>
          <w:sz w:val="28"/>
          <w:szCs w:val="32"/>
        </w:rPr>
        <w:t>年一般公共预算基本支出表</w:t>
      </w:r>
    </w:p>
    <w:p>
      <w:pPr>
        <w:spacing w:line="560" w:lineRule="exact"/>
        <w:ind w:left="7400" w:hanging="7400" w:hangingChars="3700"/>
        <w:rPr>
          <w:rFonts w:ascii="TimesNewRoman" w:hAnsi="TimesNewRoman" w:cs="TimesNewRoman"/>
          <w:kern w:val="0"/>
          <w:sz w:val="20"/>
        </w:rPr>
      </w:pPr>
      <w:r>
        <w:rPr>
          <w:rFonts w:ascii="TimesNewRoman" w:hAnsi="TimesNewRoman" w:cs="TimesNewRoman"/>
          <w:kern w:val="0"/>
          <w:sz w:val="20"/>
        </w:rPr>
        <w:t xml:space="preserve">                                                                       单位：万元</w:t>
      </w:r>
    </w:p>
    <w:tbl>
      <w:tblPr>
        <w:tblStyle w:val="4"/>
        <w:tblW w:w="9260" w:type="dxa"/>
        <w:tblInd w:w="0" w:type="dxa"/>
        <w:tblLayout w:type="fixed"/>
        <w:tblCellMar>
          <w:top w:w="0" w:type="dxa"/>
          <w:left w:w="108" w:type="dxa"/>
          <w:bottom w:w="0" w:type="dxa"/>
          <w:right w:w="108" w:type="dxa"/>
        </w:tblCellMar>
      </w:tblPr>
      <w:tblGrid>
        <w:gridCol w:w="1937"/>
        <w:gridCol w:w="3550"/>
        <w:gridCol w:w="1200"/>
        <w:gridCol w:w="1350"/>
        <w:gridCol w:w="1223"/>
      </w:tblGrid>
      <w:tr>
        <w:tblPrEx>
          <w:tblLayout w:type="fixed"/>
          <w:tblCellMar>
            <w:top w:w="0" w:type="dxa"/>
            <w:left w:w="108" w:type="dxa"/>
            <w:bottom w:w="0" w:type="dxa"/>
            <w:right w:w="108" w:type="dxa"/>
          </w:tblCellMar>
        </w:tblPrEx>
        <w:trPr>
          <w:trHeight w:val="378" w:hRule="atLeast"/>
        </w:trPr>
        <w:tc>
          <w:tcPr>
            <w:tcW w:w="5487"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部门预算支出经济分类科目</w:t>
            </w:r>
          </w:p>
        </w:tc>
        <w:tc>
          <w:tcPr>
            <w:tcW w:w="3773"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本年一般公共预算基本支出</w:t>
            </w: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科目编码</w:t>
            </w:r>
          </w:p>
        </w:tc>
        <w:tc>
          <w:tcPr>
            <w:tcW w:w="3550"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科目名称</w:t>
            </w:r>
          </w:p>
        </w:tc>
        <w:tc>
          <w:tcPr>
            <w:tcW w:w="1200"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合计</w:t>
            </w:r>
          </w:p>
        </w:tc>
        <w:tc>
          <w:tcPr>
            <w:tcW w:w="1350"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人员经费</w:t>
            </w:r>
          </w:p>
        </w:tc>
        <w:tc>
          <w:tcPr>
            <w:tcW w:w="1223"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公用经费</w:t>
            </w: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301</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工资福利支出</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54.04</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54.04</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30101</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基本工资</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18.60</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18.60</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30102</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津贴补贴</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8.17</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8.17</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30103</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奖金</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10.06</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10.06</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430"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30108</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机关事业单位基本养老保险缴费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5.89</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5.89</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30109</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职业年金缴费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2.95</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2.95</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30110</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职工基本医疗保险缴费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1.95</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1.95</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30111</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公务员医疗补助缴费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1.94</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1.94</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30112</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其他社会保障缴费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0.06</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0.06</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30113</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住房公积金</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4.42</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4.42</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30199</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其他工资福利支出</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0.01</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0.01</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302</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商品和服务支出</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7.82</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7.82</w:t>
            </w: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30201</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办公费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0.49</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0.49</w:t>
            </w: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30215</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会议费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1.80</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1.80</w:t>
            </w: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30217</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公务接待费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1.90</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1.90</w:t>
            </w: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30228</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工会经费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0.44</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0.44</w:t>
            </w: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30239</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其他交通费用</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3.19</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3.19</w:t>
            </w: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303</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对个人和家庭的补助</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16.62</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16.62</w:t>
            </w:r>
          </w:p>
        </w:tc>
        <w:tc>
          <w:tcPr>
            <w:tcW w:w="1223" w:type="dxa"/>
            <w:tcBorders>
              <w:top w:val="nil"/>
              <w:left w:val="nil"/>
              <w:bottom w:val="single" w:color="auto" w:sz="4" w:space="0"/>
              <w:right w:val="single" w:color="auto" w:sz="4" w:space="0"/>
            </w:tcBorders>
            <w:noWrap w:val="0"/>
            <w:vAlign w:val="center"/>
          </w:tcPr>
          <w:p>
            <w:pPr>
              <w:jc w:val="right"/>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30302</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退休费</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16.62</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16.62</w:t>
            </w:r>
          </w:p>
        </w:tc>
        <w:tc>
          <w:tcPr>
            <w:tcW w:w="1223" w:type="dxa"/>
            <w:tcBorders>
              <w:top w:val="nil"/>
              <w:left w:val="nil"/>
              <w:bottom w:val="single" w:color="auto" w:sz="4" w:space="0"/>
              <w:right w:val="single" w:color="auto" w:sz="4" w:space="0"/>
            </w:tcBorders>
            <w:noWrap w:val="0"/>
            <w:vAlign w:val="center"/>
          </w:tcPr>
          <w:p>
            <w:pPr>
              <w:jc w:val="right"/>
              <w:rPr>
                <w:rFonts w:hint="eastAsia" w:ascii="宋体" w:hAnsi="宋体" w:eastAsia="宋体" w:cs="宋体"/>
                <w:i w:val="0"/>
                <w:color w:val="000000"/>
                <w:kern w:val="0"/>
                <w:sz w:val="20"/>
                <w:szCs w:val="20"/>
                <w:u w:val="none"/>
                <w:lang w:val="en-US" w:eastAsia="zh-CN" w:bidi="ar"/>
              </w:rPr>
            </w:pP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310</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资本性支出</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0.65</w:t>
            </w:r>
          </w:p>
        </w:tc>
        <w:tc>
          <w:tcPr>
            <w:tcW w:w="1350" w:type="dxa"/>
            <w:tcBorders>
              <w:top w:val="nil"/>
              <w:left w:val="nil"/>
              <w:bottom w:val="single" w:color="auto" w:sz="4" w:space="0"/>
              <w:right w:val="single" w:color="auto" w:sz="4" w:space="0"/>
            </w:tcBorders>
            <w:noWrap w:val="0"/>
            <w:vAlign w:val="center"/>
          </w:tcPr>
          <w:p>
            <w:pPr>
              <w:jc w:val="right"/>
              <w:rPr>
                <w:rFonts w:hint="eastAsia" w:ascii="宋体" w:hAnsi="宋体" w:eastAsia="宋体" w:cs="宋体"/>
                <w:i w:val="0"/>
                <w:color w:val="000000"/>
                <w:kern w:val="0"/>
                <w:sz w:val="20"/>
                <w:szCs w:val="20"/>
                <w:u w:val="none"/>
                <w:lang w:val="en-US" w:eastAsia="zh-CN" w:bidi="ar"/>
              </w:rPr>
            </w:pP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0.65</w:t>
            </w:r>
          </w:p>
        </w:tc>
      </w:tr>
      <w:tr>
        <w:tblPrEx>
          <w:tblLayout w:type="fixed"/>
          <w:tblCellMar>
            <w:top w:w="0" w:type="dxa"/>
            <w:left w:w="108" w:type="dxa"/>
            <w:bottom w:w="0" w:type="dxa"/>
            <w:right w:w="108" w:type="dxa"/>
          </w:tblCellMar>
        </w:tblPrEx>
        <w:trPr>
          <w:trHeight w:val="378" w:hRule="atLeast"/>
        </w:trPr>
        <w:tc>
          <w:tcPr>
            <w:tcW w:w="193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31002</w:t>
            </w:r>
          </w:p>
        </w:tc>
        <w:tc>
          <w:tcPr>
            <w:tcW w:w="3550"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办公设备购置</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0.65</w:t>
            </w:r>
          </w:p>
        </w:tc>
        <w:tc>
          <w:tcPr>
            <w:tcW w:w="1350" w:type="dxa"/>
            <w:tcBorders>
              <w:top w:val="nil"/>
              <w:left w:val="nil"/>
              <w:bottom w:val="single" w:color="auto" w:sz="4" w:space="0"/>
              <w:right w:val="single" w:color="auto" w:sz="4" w:space="0"/>
            </w:tcBorders>
            <w:noWrap w:val="0"/>
            <w:vAlign w:val="center"/>
          </w:tcPr>
          <w:p>
            <w:pPr>
              <w:jc w:val="right"/>
              <w:rPr>
                <w:rFonts w:hint="eastAsia" w:ascii="宋体" w:hAnsi="宋体" w:eastAsia="宋体" w:cs="宋体"/>
                <w:i w:val="0"/>
                <w:color w:val="000000"/>
                <w:kern w:val="0"/>
                <w:sz w:val="20"/>
                <w:szCs w:val="20"/>
                <w:u w:val="none"/>
                <w:lang w:val="en-US" w:eastAsia="zh-CN" w:bidi="ar"/>
              </w:rPr>
            </w:pP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0.65</w:t>
            </w:r>
          </w:p>
        </w:tc>
      </w:tr>
      <w:tr>
        <w:tblPrEx>
          <w:tblLayout w:type="fixed"/>
          <w:tblCellMar>
            <w:top w:w="0" w:type="dxa"/>
            <w:left w:w="108" w:type="dxa"/>
            <w:bottom w:w="0" w:type="dxa"/>
            <w:right w:w="108" w:type="dxa"/>
          </w:tblCellMar>
        </w:tblPrEx>
        <w:trPr>
          <w:trHeight w:val="398" w:hRule="atLeast"/>
        </w:trPr>
        <w:tc>
          <w:tcPr>
            <w:tcW w:w="5487" w:type="dxa"/>
            <w:gridSpan w:val="2"/>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总 计</w:t>
            </w:r>
          </w:p>
        </w:tc>
        <w:tc>
          <w:tcPr>
            <w:tcW w:w="120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79.14</w:t>
            </w: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70.67</w:t>
            </w:r>
          </w:p>
        </w:tc>
        <w:tc>
          <w:tcPr>
            <w:tcW w:w="1223"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8.47</w:t>
            </w:r>
          </w:p>
        </w:tc>
      </w:tr>
    </w:tbl>
    <w:p>
      <w:pPr>
        <w:spacing w:line="560" w:lineRule="exact"/>
        <w:rPr>
          <w:rFonts w:ascii="TimesNewRoman" w:hAnsi="TimesNewRoman" w:cs="TimesNewRoman"/>
        </w:rPr>
        <w:sectPr>
          <w:pgSz w:w="11907" w:h="16840"/>
          <w:pgMar w:top="1531" w:right="1474" w:bottom="1559" w:left="1588" w:header="851" w:footer="1020" w:gutter="0"/>
          <w:cols w:space="0" w:num="1"/>
          <w:rtlGutter w:val="0"/>
          <w:docGrid w:type="linesAndChars" w:linePitch="312" w:charSpace="121"/>
        </w:sectPr>
      </w:pPr>
    </w:p>
    <w:p>
      <w:pPr>
        <w:spacing w:line="560" w:lineRule="exact"/>
        <w:rPr>
          <w:rFonts w:ascii="TimesNewRoman" w:hAnsi="TimesNewRoman" w:cs="TimesNewRoman"/>
        </w:rPr>
      </w:pPr>
    </w:p>
    <w:p>
      <w:pPr>
        <w:spacing w:line="560" w:lineRule="exact"/>
        <w:jc w:val="right"/>
        <w:rPr>
          <w:rFonts w:ascii="TimesNewRoman" w:hAnsi="TimesNewRoman" w:cs="TimesNewRoman"/>
          <w:kern w:val="0"/>
          <w:sz w:val="20"/>
        </w:rPr>
      </w:pPr>
      <w:r>
        <w:rPr>
          <w:rFonts w:ascii="TimesNewRoman" w:hAnsi="TimesNewRoman" w:cs="TimesNewRoman"/>
          <w:kern w:val="0"/>
          <w:sz w:val="20"/>
        </w:rPr>
        <w:t xml:space="preserve">                                                        </w:t>
      </w:r>
      <w:r>
        <w:rPr>
          <w:rFonts w:hint="eastAsia" w:ascii="TimesNewRoman" w:hAnsi="TimesNewRoman" w:cs="TimesNewRoman"/>
          <w:kern w:val="0"/>
          <w:sz w:val="20"/>
        </w:rPr>
        <w:t xml:space="preserve">     </w:t>
      </w:r>
      <w:r>
        <w:rPr>
          <w:rFonts w:hint="eastAsia" w:ascii="TimesNewRoman" w:hAnsi="TimesNewRoman" w:cs="TimesNewRoman"/>
          <w:kern w:val="0"/>
          <w:sz w:val="20"/>
          <w:lang w:eastAsia="zh-CN"/>
        </w:rPr>
        <w:t>部门</w:t>
      </w:r>
      <w:r>
        <w:rPr>
          <w:rFonts w:ascii="TimesNewRoman" w:hAnsi="TimesNewRoman" w:cs="TimesNewRoman"/>
          <w:kern w:val="0"/>
          <w:sz w:val="20"/>
        </w:rPr>
        <w:t>公开表7</w:t>
      </w:r>
    </w:p>
    <w:p>
      <w:pPr>
        <w:spacing w:line="560" w:lineRule="exact"/>
        <w:jc w:val="center"/>
        <w:rPr>
          <w:rFonts w:ascii="宋体" w:hAnsi="宋体" w:cs="TimesNewRoman"/>
          <w:b/>
          <w:bCs/>
          <w:kern w:val="0"/>
          <w:sz w:val="28"/>
          <w:szCs w:val="32"/>
        </w:rPr>
      </w:pPr>
      <w:r>
        <w:rPr>
          <w:rFonts w:hint="eastAsia" w:ascii="宋体" w:hAnsi="宋体" w:cs="TimesNewRoman"/>
          <w:b/>
          <w:bCs/>
          <w:kern w:val="0"/>
          <w:sz w:val="28"/>
          <w:szCs w:val="32"/>
          <w:lang w:eastAsia="zh-CN"/>
        </w:rPr>
        <w:t>寿县科学技术协会</w:t>
      </w:r>
      <w:r>
        <w:rPr>
          <w:rFonts w:hint="eastAsia" w:ascii="宋体" w:hAnsi="宋体" w:cs="TimesNewRoman"/>
          <w:b/>
          <w:bCs/>
          <w:kern w:val="0"/>
          <w:sz w:val="28"/>
          <w:szCs w:val="32"/>
        </w:rPr>
        <w:t>2024</w:t>
      </w:r>
      <w:r>
        <w:rPr>
          <w:rFonts w:ascii="宋体" w:hAnsi="宋体" w:cs="TimesNewRoman"/>
          <w:b/>
          <w:bCs/>
          <w:kern w:val="0"/>
          <w:sz w:val="28"/>
          <w:szCs w:val="32"/>
        </w:rPr>
        <w:t>年政府性基金预算支出表</w:t>
      </w:r>
    </w:p>
    <w:p>
      <w:pPr>
        <w:spacing w:line="560" w:lineRule="exact"/>
        <w:ind w:left="7400" w:hanging="7400" w:hangingChars="3700"/>
        <w:rPr>
          <w:rFonts w:ascii="TimesNewRoman" w:hAnsi="TimesNewRoman" w:cs="TimesNewRoman"/>
          <w:kern w:val="0"/>
          <w:sz w:val="20"/>
        </w:rPr>
      </w:pPr>
      <w:r>
        <w:rPr>
          <w:rFonts w:ascii="TimesNewRoman" w:hAnsi="TimesNewRoman" w:cs="TimesNewRoman"/>
          <w:kern w:val="0"/>
          <w:sz w:val="20"/>
        </w:rPr>
        <w:t xml:space="preserve">                                                                       单位：万元</w:t>
      </w:r>
    </w:p>
    <w:tbl>
      <w:tblPr>
        <w:tblStyle w:val="4"/>
        <w:tblW w:w="13951" w:type="dxa"/>
        <w:tblInd w:w="0" w:type="dxa"/>
        <w:tblLayout w:type="fixed"/>
        <w:tblCellMar>
          <w:top w:w="0" w:type="dxa"/>
          <w:left w:w="108" w:type="dxa"/>
          <w:bottom w:w="0" w:type="dxa"/>
          <w:right w:w="108" w:type="dxa"/>
        </w:tblCellMar>
      </w:tblPr>
      <w:tblGrid>
        <w:gridCol w:w="1911"/>
        <w:gridCol w:w="6266"/>
        <w:gridCol w:w="1640"/>
        <w:gridCol w:w="2018"/>
        <w:gridCol w:w="2116"/>
      </w:tblGrid>
      <w:tr>
        <w:tblPrEx>
          <w:tblLayout w:type="fixed"/>
          <w:tblCellMar>
            <w:top w:w="0" w:type="dxa"/>
            <w:left w:w="108" w:type="dxa"/>
            <w:bottom w:w="0" w:type="dxa"/>
            <w:right w:w="108" w:type="dxa"/>
          </w:tblCellMar>
        </w:tblPrEx>
        <w:trPr>
          <w:trHeight w:val="570" w:hRule="atLeast"/>
        </w:trPr>
        <w:tc>
          <w:tcPr>
            <w:tcW w:w="191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科目编码</w:t>
            </w:r>
          </w:p>
        </w:tc>
        <w:tc>
          <w:tcPr>
            <w:tcW w:w="626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科目名称</w:t>
            </w:r>
          </w:p>
        </w:tc>
        <w:tc>
          <w:tcPr>
            <w:tcW w:w="5774" w:type="dxa"/>
            <w:gridSpan w:val="3"/>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本年政府性基金预算支出</w:t>
            </w:r>
          </w:p>
        </w:tc>
      </w:tr>
      <w:tr>
        <w:tblPrEx>
          <w:tblLayout w:type="fixed"/>
          <w:tblCellMar>
            <w:top w:w="0" w:type="dxa"/>
            <w:left w:w="108" w:type="dxa"/>
            <w:bottom w:w="0" w:type="dxa"/>
            <w:right w:w="108" w:type="dxa"/>
          </w:tblCellMar>
        </w:tblPrEx>
        <w:trPr>
          <w:trHeight w:val="570" w:hRule="atLeast"/>
        </w:trPr>
        <w:tc>
          <w:tcPr>
            <w:tcW w:w="191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626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1640"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合计</w:t>
            </w:r>
          </w:p>
        </w:tc>
        <w:tc>
          <w:tcPr>
            <w:tcW w:w="2018"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基本支出</w:t>
            </w:r>
          </w:p>
        </w:tc>
        <w:tc>
          <w:tcPr>
            <w:tcW w:w="2116"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项目支出</w:t>
            </w:r>
          </w:p>
        </w:tc>
      </w:tr>
      <w:tr>
        <w:tblPrEx>
          <w:tblLayout w:type="fixed"/>
          <w:tblCellMar>
            <w:top w:w="0" w:type="dxa"/>
            <w:left w:w="108" w:type="dxa"/>
            <w:bottom w:w="0" w:type="dxa"/>
            <w:right w:w="108" w:type="dxa"/>
          </w:tblCellMar>
        </w:tblPrEx>
        <w:trPr>
          <w:trHeight w:val="442" w:hRule="atLeast"/>
        </w:trPr>
        <w:tc>
          <w:tcPr>
            <w:tcW w:w="1911"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6266"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64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01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116"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442" w:hRule="atLeast"/>
        </w:trPr>
        <w:tc>
          <w:tcPr>
            <w:tcW w:w="1911"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6266"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64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01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116"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442" w:hRule="atLeast"/>
        </w:trPr>
        <w:tc>
          <w:tcPr>
            <w:tcW w:w="1911"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6266"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kern w:val="0"/>
                <w:sz w:val="18"/>
                <w:szCs w:val="18"/>
              </w:rPr>
              <w:t>　</w:t>
            </w:r>
          </w:p>
        </w:tc>
        <w:tc>
          <w:tcPr>
            <w:tcW w:w="164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01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116"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442" w:hRule="atLeast"/>
        </w:trPr>
        <w:tc>
          <w:tcPr>
            <w:tcW w:w="1911"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6266"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64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01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116"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442" w:hRule="atLeast"/>
        </w:trPr>
        <w:tc>
          <w:tcPr>
            <w:tcW w:w="1911"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6266"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64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01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2116"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442" w:hRule="atLeast"/>
        </w:trPr>
        <w:tc>
          <w:tcPr>
            <w:tcW w:w="8177" w:type="dxa"/>
            <w:gridSpan w:val="2"/>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hint="eastAsia" w:ascii="TimesNewRoman" w:hAnsi="TimesNewRoman" w:cs="TimesNewRoman"/>
                <w:b/>
                <w:bCs/>
                <w:kern w:val="0"/>
                <w:sz w:val="18"/>
                <w:szCs w:val="18"/>
              </w:rPr>
              <w:t>总</w:t>
            </w:r>
            <w:r>
              <w:rPr>
                <w:rFonts w:ascii="TimesNewRoman" w:hAnsi="TimesNewRoman" w:cs="TimesNewRoman"/>
                <w:b/>
                <w:bCs/>
                <w:kern w:val="0"/>
                <w:sz w:val="18"/>
                <w:szCs w:val="18"/>
              </w:rPr>
              <w:t xml:space="preserve"> 计</w:t>
            </w:r>
          </w:p>
        </w:tc>
        <w:tc>
          <w:tcPr>
            <w:tcW w:w="164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201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2116"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r>
    </w:tbl>
    <w:p>
      <w:pPr>
        <w:widowControl/>
        <w:spacing w:line="560" w:lineRule="exact"/>
        <w:jc w:val="left"/>
        <w:rPr>
          <w:rFonts w:ascii="TimesNewRoman" w:hAnsi="TimesNewRoman" w:cs="TimesNewRoman"/>
          <w:kern w:val="0"/>
          <w:sz w:val="24"/>
        </w:rPr>
      </w:pPr>
      <w:r>
        <w:rPr>
          <w:rFonts w:ascii="TimesNewRoman" w:hAnsi="TimesNewRoman" w:cs="TimesNewRoman"/>
          <w:kern w:val="0"/>
          <w:sz w:val="24"/>
        </w:rPr>
        <w:t>注：</w:t>
      </w:r>
      <w:r>
        <w:rPr>
          <w:rFonts w:hint="eastAsia" w:ascii="TimesNewRoman" w:hAnsi="TimesNewRoman" w:cs="TimesNewRoman"/>
          <w:kern w:val="0"/>
          <w:sz w:val="24"/>
          <w:lang w:eastAsia="zh-CN"/>
        </w:rPr>
        <w:t>寿县科学技术协会</w:t>
      </w:r>
      <w:r>
        <w:rPr>
          <w:rFonts w:ascii="TimesNewRoman" w:hAnsi="TimesNewRoman" w:cs="TimesNewRoman"/>
          <w:kern w:val="0"/>
          <w:sz w:val="24"/>
        </w:rPr>
        <w:t>没有政府性基金预算拨款收入，也没有政府性基金预算拨款安排的支出，故本表无数据。</w:t>
      </w:r>
    </w:p>
    <w:p>
      <w:pPr>
        <w:widowControl/>
        <w:spacing w:line="560" w:lineRule="exact"/>
        <w:jc w:val="left"/>
        <w:rPr>
          <w:rFonts w:ascii="TimesNewRoman" w:hAnsi="TimesNewRoman" w:cs="TimesNewRoman"/>
          <w:kern w:val="0"/>
          <w:sz w:val="24"/>
        </w:rPr>
      </w:pPr>
    </w:p>
    <w:p>
      <w:pPr>
        <w:widowControl/>
        <w:spacing w:line="560" w:lineRule="exact"/>
        <w:jc w:val="left"/>
        <w:rPr>
          <w:rFonts w:ascii="TimesNewRoman" w:hAnsi="TimesNewRoman" w:cs="TimesNewRoman"/>
          <w:kern w:val="0"/>
          <w:sz w:val="24"/>
        </w:rPr>
      </w:pPr>
    </w:p>
    <w:p>
      <w:pPr>
        <w:widowControl/>
        <w:spacing w:line="560" w:lineRule="exact"/>
        <w:jc w:val="left"/>
        <w:rPr>
          <w:rFonts w:ascii="TimesNewRoman" w:hAnsi="TimesNewRoman" w:cs="TimesNewRoman"/>
          <w:kern w:val="0"/>
          <w:sz w:val="24"/>
        </w:rPr>
      </w:pPr>
    </w:p>
    <w:p>
      <w:pPr>
        <w:pStyle w:val="3"/>
        <w:adjustRightInd w:val="0"/>
        <w:snapToGrid w:val="0"/>
        <w:spacing w:after="156" w:afterLines="50" w:line="560" w:lineRule="exact"/>
        <w:ind w:right="102"/>
        <w:jc w:val="right"/>
        <w:rPr>
          <w:rFonts w:ascii="TimesNewRoman" w:hAnsi="TimesNewRoman" w:eastAsia="黑体" w:cs="TimesNewRoman"/>
          <w:bCs/>
          <w:sz w:val="36"/>
          <w:szCs w:val="36"/>
        </w:rPr>
      </w:pPr>
      <w:r>
        <w:rPr>
          <w:rFonts w:ascii="TimesNewRoman" w:hAnsi="TimesNewRoman" w:cs="TimesNewRoman"/>
          <w:sz w:val="20"/>
          <w:szCs w:val="20"/>
        </w:rPr>
        <w:t xml:space="preserve"> </w:t>
      </w:r>
      <w:r>
        <w:rPr>
          <w:rFonts w:ascii="TimesNewRoman" w:hAnsi="TimesNewRoman" w:eastAsia="仿宋_GB2312" w:cs="TimesNewRoman"/>
          <w:sz w:val="20"/>
          <w:szCs w:val="20"/>
        </w:rPr>
        <w:t xml:space="preserve"> </w:t>
      </w:r>
      <w:r>
        <w:rPr>
          <w:rFonts w:hint="eastAsia" w:ascii="TimesNewRoman" w:hAnsi="TimesNewRoman" w:eastAsia="仿宋_GB2312" w:cs="TimesNewRoman"/>
          <w:sz w:val="20"/>
          <w:szCs w:val="20"/>
          <w:lang w:eastAsia="zh-CN"/>
        </w:rPr>
        <w:t>部门</w:t>
      </w:r>
      <w:r>
        <w:rPr>
          <w:rFonts w:ascii="TimesNewRoman" w:hAnsi="TimesNewRoman" w:eastAsia="仿宋_GB2312" w:cs="TimesNewRoman"/>
          <w:sz w:val="20"/>
          <w:szCs w:val="20"/>
        </w:rPr>
        <w:t>公开表8</w:t>
      </w:r>
    </w:p>
    <w:tbl>
      <w:tblPr>
        <w:tblStyle w:val="4"/>
        <w:tblW w:w="13876" w:type="dxa"/>
        <w:tblInd w:w="0" w:type="dxa"/>
        <w:tblLayout w:type="fixed"/>
        <w:tblCellMar>
          <w:top w:w="0" w:type="dxa"/>
          <w:left w:w="108" w:type="dxa"/>
          <w:bottom w:w="0" w:type="dxa"/>
          <w:right w:w="108" w:type="dxa"/>
        </w:tblCellMar>
      </w:tblPr>
      <w:tblGrid>
        <w:gridCol w:w="710"/>
        <w:gridCol w:w="902"/>
        <w:gridCol w:w="1870"/>
        <w:gridCol w:w="4312"/>
        <w:gridCol w:w="342"/>
        <w:gridCol w:w="1153"/>
        <w:gridCol w:w="2013"/>
        <w:gridCol w:w="666"/>
        <w:gridCol w:w="1224"/>
        <w:gridCol w:w="559"/>
        <w:gridCol w:w="125"/>
      </w:tblGrid>
      <w:tr>
        <w:tblPrEx>
          <w:tblLayout w:type="fixed"/>
          <w:tblCellMar>
            <w:top w:w="0" w:type="dxa"/>
            <w:left w:w="108" w:type="dxa"/>
            <w:bottom w:w="0" w:type="dxa"/>
            <w:right w:w="108" w:type="dxa"/>
          </w:tblCellMar>
        </w:tblPrEx>
        <w:trPr>
          <w:gridAfter w:val="2"/>
          <w:wAfter w:w="684" w:type="dxa"/>
          <w:trHeight w:val="441" w:hRule="atLeast"/>
        </w:trPr>
        <w:tc>
          <w:tcPr>
            <w:tcW w:w="13192" w:type="dxa"/>
            <w:gridSpan w:val="9"/>
            <w:tcBorders>
              <w:top w:val="nil"/>
              <w:left w:val="nil"/>
              <w:bottom w:val="nil"/>
              <w:right w:val="nil"/>
            </w:tcBorders>
            <w:noWrap w:val="0"/>
            <w:vAlign w:val="center"/>
          </w:tcPr>
          <w:p>
            <w:pPr>
              <w:spacing w:line="560" w:lineRule="exact"/>
              <w:jc w:val="center"/>
              <w:rPr>
                <w:rFonts w:ascii="宋体" w:hAnsi="宋体" w:cs="TimesNewRoman"/>
                <w:b/>
                <w:bCs/>
                <w:kern w:val="0"/>
                <w:sz w:val="28"/>
                <w:szCs w:val="32"/>
              </w:rPr>
            </w:pPr>
            <w:r>
              <w:rPr>
                <w:rFonts w:hint="eastAsia" w:ascii="宋体" w:hAnsi="宋体" w:cs="TimesNewRoman"/>
                <w:b/>
                <w:bCs/>
                <w:kern w:val="0"/>
                <w:sz w:val="28"/>
                <w:szCs w:val="32"/>
                <w:lang w:eastAsia="zh-CN"/>
              </w:rPr>
              <w:t>寿县科学技术协会</w:t>
            </w:r>
            <w:r>
              <w:rPr>
                <w:rFonts w:hint="eastAsia" w:ascii="宋体" w:hAnsi="宋体" w:cs="TimesNewRoman"/>
                <w:b/>
                <w:bCs/>
                <w:kern w:val="0"/>
                <w:sz w:val="28"/>
                <w:szCs w:val="32"/>
              </w:rPr>
              <w:t>2024</w:t>
            </w:r>
            <w:r>
              <w:rPr>
                <w:rFonts w:ascii="宋体" w:hAnsi="宋体" w:cs="TimesNewRoman"/>
                <w:b/>
                <w:bCs/>
                <w:kern w:val="0"/>
                <w:sz w:val="28"/>
                <w:szCs w:val="32"/>
              </w:rPr>
              <w:t>年国有资本经营预算支出表</w:t>
            </w:r>
          </w:p>
        </w:tc>
      </w:tr>
      <w:tr>
        <w:tblPrEx>
          <w:tblLayout w:type="fixed"/>
          <w:tblCellMar>
            <w:top w:w="0" w:type="dxa"/>
            <w:left w:w="108" w:type="dxa"/>
            <w:bottom w:w="0" w:type="dxa"/>
            <w:right w:w="108" w:type="dxa"/>
          </w:tblCellMar>
        </w:tblPrEx>
        <w:trPr>
          <w:trHeight w:val="299" w:hRule="atLeast"/>
        </w:trPr>
        <w:tc>
          <w:tcPr>
            <w:tcW w:w="710" w:type="dxa"/>
            <w:tcBorders>
              <w:top w:val="nil"/>
              <w:left w:val="nil"/>
              <w:bottom w:val="single" w:color="auto" w:sz="4" w:space="0"/>
              <w:right w:val="nil"/>
            </w:tcBorders>
            <w:noWrap w:val="0"/>
            <w:vAlign w:val="center"/>
          </w:tcPr>
          <w:p>
            <w:pPr>
              <w:widowControl/>
              <w:spacing w:line="560" w:lineRule="exact"/>
              <w:jc w:val="left"/>
              <w:rPr>
                <w:rFonts w:ascii="TimesNewRoman" w:hAnsi="TimesNewRoman" w:cs="TimesNewRoman"/>
                <w:kern w:val="0"/>
                <w:sz w:val="18"/>
                <w:szCs w:val="18"/>
              </w:rPr>
            </w:pPr>
          </w:p>
        </w:tc>
        <w:tc>
          <w:tcPr>
            <w:tcW w:w="902" w:type="dxa"/>
            <w:tcBorders>
              <w:top w:val="nil"/>
              <w:left w:val="nil"/>
              <w:bottom w:val="single" w:color="auto" w:sz="4" w:space="0"/>
              <w:right w:val="nil"/>
            </w:tcBorders>
            <w:noWrap w:val="0"/>
            <w:vAlign w:val="center"/>
          </w:tcPr>
          <w:p>
            <w:pPr>
              <w:widowControl/>
              <w:spacing w:line="560" w:lineRule="exact"/>
              <w:jc w:val="left"/>
              <w:rPr>
                <w:rFonts w:ascii="TimesNewRoman" w:hAnsi="TimesNewRoman" w:cs="TimesNewRoman"/>
                <w:kern w:val="0"/>
                <w:sz w:val="20"/>
              </w:rPr>
            </w:pPr>
          </w:p>
        </w:tc>
        <w:tc>
          <w:tcPr>
            <w:tcW w:w="6182" w:type="dxa"/>
            <w:gridSpan w:val="2"/>
            <w:tcBorders>
              <w:top w:val="nil"/>
              <w:left w:val="nil"/>
              <w:bottom w:val="single" w:color="auto" w:sz="4" w:space="0"/>
              <w:right w:val="nil"/>
            </w:tcBorders>
            <w:noWrap w:val="0"/>
            <w:vAlign w:val="center"/>
          </w:tcPr>
          <w:p>
            <w:pPr>
              <w:widowControl/>
              <w:spacing w:line="560" w:lineRule="exact"/>
              <w:jc w:val="left"/>
              <w:rPr>
                <w:rFonts w:ascii="TimesNewRoman" w:hAnsi="TimesNewRoman" w:cs="TimesNewRoman"/>
                <w:kern w:val="0"/>
                <w:sz w:val="20"/>
              </w:rPr>
            </w:pPr>
          </w:p>
        </w:tc>
        <w:tc>
          <w:tcPr>
            <w:tcW w:w="342" w:type="dxa"/>
            <w:tcBorders>
              <w:top w:val="nil"/>
              <w:left w:val="nil"/>
              <w:bottom w:val="nil"/>
              <w:right w:val="nil"/>
            </w:tcBorders>
            <w:noWrap w:val="0"/>
            <w:vAlign w:val="center"/>
          </w:tcPr>
          <w:p>
            <w:pPr>
              <w:widowControl/>
              <w:spacing w:line="560" w:lineRule="exact"/>
              <w:jc w:val="left"/>
              <w:rPr>
                <w:rFonts w:ascii="TimesNewRoman" w:hAnsi="TimesNewRoman" w:cs="TimesNewRoman"/>
                <w:kern w:val="0"/>
                <w:sz w:val="20"/>
              </w:rPr>
            </w:pPr>
          </w:p>
        </w:tc>
        <w:tc>
          <w:tcPr>
            <w:tcW w:w="3832" w:type="dxa"/>
            <w:gridSpan w:val="3"/>
            <w:tcBorders>
              <w:top w:val="nil"/>
              <w:left w:val="nil"/>
              <w:bottom w:val="nil"/>
              <w:right w:val="nil"/>
            </w:tcBorders>
            <w:noWrap w:val="0"/>
            <w:vAlign w:val="center"/>
          </w:tcPr>
          <w:p>
            <w:pPr>
              <w:widowControl/>
              <w:spacing w:line="560" w:lineRule="exact"/>
              <w:jc w:val="left"/>
              <w:rPr>
                <w:rFonts w:ascii="TimesNewRoman" w:hAnsi="TimesNewRoman" w:cs="TimesNewRoman"/>
                <w:kern w:val="0"/>
                <w:sz w:val="20"/>
              </w:rPr>
            </w:pPr>
          </w:p>
        </w:tc>
        <w:tc>
          <w:tcPr>
            <w:tcW w:w="1908" w:type="dxa"/>
            <w:gridSpan w:val="3"/>
            <w:tcBorders>
              <w:top w:val="nil"/>
              <w:left w:val="nil"/>
              <w:bottom w:val="nil"/>
              <w:right w:val="nil"/>
            </w:tcBorders>
            <w:noWrap w:val="0"/>
            <w:vAlign w:val="center"/>
          </w:tcPr>
          <w:p>
            <w:pPr>
              <w:widowControl/>
              <w:spacing w:line="560" w:lineRule="exact"/>
              <w:ind w:right="100"/>
              <w:jc w:val="right"/>
              <w:rPr>
                <w:rFonts w:ascii="TimesNewRoman" w:hAnsi="TimesNewRoman" w:cs="TimesNewRoman"/>
                <w:kern w:val="0"/>
                <w:sz w:val="20"/>
              </w:rPr>
            </w:pPr>
            <w:r>
              <w:rPr>
                <w:rFonts w:ascii="TimesNewRoman" w:hAnsi="TimesNewRoman" w:cs="TimesNewRoman"/>
                <w:kern w:val="0"/>
                <w:sz w:val="20"/>
              </w:rPr>
              <w:t>单位：万元</w:t>
            </w:r>
          </w:p>
        </w:tc>
      </w:tr>
      <w:tr>
        <w:tblPrEx>
          <w:tblLayout w:type="fixed"/>
          <w:tblCellMar>
            <w:top w:w="0" w:type="dxa"/>
            <w:left w:w="108" w:type="dxa"/>
            <w:bottom w:w="0" w:type="dxa"/>
            <w:right w:w="108" w:type="dxa"/>
          </w:tblCellMar>
        </w:tblPrEx>
        <w:trPr>
          <w:gridAfter w:val="1"/>
          <w:wAfter w:w="125" w:type="dxa"/>
          <w:trHeight w:val="323" w:hRule="atLeast"/>
        </w:trPr>
        <w:tc>
          <w:tcPr>
            <w:tcW w:w="7794"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kern w:val="0"/>
                <w:sz w:val="18"/>
                <w:szCs w:val="18"/>
              </w:rPr>
            </w:pPr>
            <w:r>
              <w:rPr>
                <w:rFonts w:ascii="TimesNewRoman" w:hAnsi="TimesNewRoman" w:cs="TimesNewRoman"/>
                <w:b/>
                <w:kern w:val="0"/>
                <w:sz w:val="18"/>
                <w:szCs w:val="18"/>
              </w:rPr>
              <w:t>功能分类科目</w:t>
            </w:r>
          </w:p>
        </w:tc>
        <w:tc>
          <w:tcPr>
            <w:tcW w:w="5957"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b/>
                <w:bCs/>
                <w:kern w:val="0"/>
                <w:sz w:val="18"/>
                <w:szCs w:val="18"/>
              </w:rPr>
              <w:t>国有资本经营预算拨款支出</w:t>
            </w:r>
          </w:p>
        </w:tc>
      </w:tr>
      <w:tr>
        <w:tblPrEx>
          <w:tblLayout w:type="fixed"/>
          <w:tblCellMar>
            <w:top w:w="0" w:type="dxa"/>
            <w:left w:w="108" w:type="dxa"/>
            <w:bottom w:w="0" w:type="dxa"/>
            <w:right w:w="108" w:type="dxa"/>
          </w:tblCellMar>
        </w:tblPrEx>
        <w:trPr>
          <w:gridAfter w:val="1"/>
          <w:wAfter w:w="125" w:type="dxa"/>
          <w:trHeight w:val="323" w:hRule="atLeast"/>
        </w:trPr>
        <w:tc>
          <w:tcPr>
            <w:tcW w:w="348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科目编码</w:t>
            </w:r>
          </w:p>
        </w:tc>
        <w:tc>
          <w:tcPr>
            <w:tcW w:w="431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科目名称</w:t>
            </w:r>
          </w:p>
        </w:tc>
        <w:tc>
          <w:tcPr>
            <w:tcW w:w="149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合计</w:t>
            </w:r>
          </w:p>
        </w:tc>
        <w:tc>
          <w:tcPr>
            <w:tcW w:w="2013"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基本支出</w:t>
            </w: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项目支出</w:t>
            </w:r>
          </w:p>
        </w:tc>
      </w:tr>
      <w:tr>
        <w:tblPrEx>
          <w:tblLayout w:type="fixed"/>
          <w:tblCellMar>
            <w:top w:w="0" w:type="dxa"/>
            <w:left w:w="108" w:type="dxa"/>
            <w:bottom w:w="0" w:type="dxa"/>
            <w:right w:w="108" w:type="dxa"/>
          </w:tblCellMar>
        </w:tblPrEx>
        <w:trPr>
          <w:gridAfter w:val="1"/>
          <w:wAfter w:w="125" w:type="dxa"/>
          <w:trHeight w:val="323" w:hRule="atLeast"/>
        </w:trPr>
        <w:tc>
          <w:tcPr>
            <w:tcW w:w="348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p>
        </w:tc>
        <w:tc>
          <w:tcPr>
            <w:tcW w:w="4312"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p>
        </w:tc>
        <w:tc>
          <w:tcPr>
            <w:tcW w:w="1495" w:type="dxa"/>
            <w:gridSpan w:val="2"/>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p>
        </w:tc>
        <w:tc>
          <w:tcPr>
            <w:tcW w:w="2013"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p>
        </w:tc>
      </w:tr>
      <w:tr>
        <w:tblPrEx>
          <w:tblLayout w:type="fixed"/>
          <w:tblCellMar>
            <w:top w:w="0" w:type="dxa"/>
            <w:left w:w="108" w:type="dxa"/>
            <w:bottom w:w="0" w:type="dxa"/>
            <w:right w:w="108" w:type="dxa"/>
          </w:tblCellMar>
        </w:tblPrEx>
        <w:trPr>
          <w:gridAfter w:val="1"/>
          <w:wAfter w:w="125" w:type="dxa"/>
          <w:trHeight w:val="323" w:hRule="atLeast"/>
        </w:trPr>
        <w:tc>
          <w:tcPr>
            <w:tcW w:w="348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4312"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495" w:type="dxa"/>
            <w:gridSpan w:val="2"/>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013"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gridAfter w:val="1"/>
          <w:wAfter w:w="125" w:type="dxa"/>
          <w:trHeight w:val="323" w:hRule="atLeast"/>
        </w:trPr>
        <w:tc>
          <w:tcPr>
            <w:tcW w:w="3482" w:type="dxa"/>
            <w:gridSpan w:val="3"/>
            <w:tcBorders>
              <w:top w:val="single" w:color="auto" w:sz="4" w:space="0"/>
              <w:left w:val="single" w:color="auto" w:sz="4" w:space="0"/>
              <w:bottom w:val="single" w:color="auto" w:sz="4" w:space="0"/>
              <w:right w:val="single" w:color="000000" w:sz="4" w:space="0"/>
            </w:tcBorders>
            <w:noWrap w:val="0"/>
            <w:vAlign w:val="bottom"/>
          </w:tcPr>
          <w:p>
            <w:pPr>
              <w:widowControl/>
              <w:spacing w:line="280" w:lineRule="exact"/>
              <w:jc w:val="center"/>
              <w:rPr>
                <w:rFonts w:ascii="TimesNewRoman" w:hAnsi="TimesNewRoman" w:cs="TimesNewRoman"/>
                <w:kern w:val="0"/>
                <w:sz w:val="18"/>
                <w:szCs w:val="18"/>
              </w:rPr>
            </w:pPr>
          </w:p>
        </w:tc>
        <w:tc>
          <w:tcPr>
            <w:tcW w:w="4312" w:type="dxa"/>
            <w:tcBorders>
              <w:top w:val="nil"/>
              <w:left w:val="nil"/>
              <w:bottom w:val="single" w:color="auto" w:sz="4" w:space="0"/>
              <w:right w:val="single" w:color="auto" w:sz="4" w:space="0"/>
            </w:tcBorders>
            <w:noWrap w:val="0"/>
            <w:vAlign w:val="bottom"/>
          </w:tcPr>
          <w:p>
            <w:pPr>
              <w:widowControl/>
              <w:spacing w:line="280" w:lineRule="exact"/>
              <w:jc w:val="center"/>
              <w:rPr>
                <w:rFonts w:ascii="TimesNewRoman" w:hAnsi="TimesNewRoman" w:cs="TimesNewRoman"/>
                <w:kern w:val="0"/>
                <w:sz w:val="18"/>
                <w:szCs w:val="18"/>
              </w:rPr>
            </w:pPr>
          </w:p>
        </w:tc>
        <w:tc>
          <w:tcPr>
            <w:tcW w:w="1495" w:type="dxa"/>
            <w:gridSpan w:val="2"/>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013"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gridAfter w:val="1"/>
          <w:wAfter w:w="125" w:type="dxa"/>
          <w:trHeight w:val="323" w:hRule="atLeast"/>
        </w:trPr>
        <w:tc>
          <w:tcPr>
            <w:tcW w:w="3482" w:type="dxa"/>
            <w:gridSpan w:val="3"/>
            <w:tcBorders>
              <w:top w:val="single" w:color="auto" w:sz="4" w:space="0"/>
              <w:left w:val="single" w:color="auto" w:sz="4" w:space="0"/>
              <w:bottom w:val="single" w:color="auto" w:sz="4" w:space="0"/>
              <w:right w:val="single" w:color="000000" w:sz="4" w:space="0"/>
            </w:tcBorders>
            <w:noWrap w:val="0"/>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kern w:val="0"/>
                <w:sz w:val="18"/>
                <w:szCs w:val="18"/>
              </w:rPr>
              <w:t>　</w:t>
            </w:r>
          </w:p>
        </w:tc>
        <w:tc>
          <w:tcPr>
            <w:tcW w:w="4312"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495" w:type="dxa"/>
            <w:gridSpan w:val="2"/>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013"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gridAfter w:val="1"/>
          <w:wAfter w:w="125" w:type="dxa"/>
          <w:trHeight w:val="323" w:hRule="atLeast"/>
        </w:trPr>
        <w:tc>
          <w:tcPr>
            <w:tcW w:w="3482" w:type="dxa"/>
            <w:gridSpan w:val="3"/>
            <w:tcBorders>
              <w:top w:val="single" w:color="auto" w:sz="4" w:space="0"/>
              <w:left w:val="single" w:color="auto" w:sz="4" w:space="0"/>
              <w:bottom w:val="single" w:color="auto" w:sz="4" w:space="0"/>
              <w:right w:val="single" w:color="000000" w:sz="4" w:space="0"/>
            </w:tcBorders>
            <w:noWrap w:val="0"/>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kern w:val="0"/>
                <w:sz w:val="18"/>
                <w:szCs w:val="18"/>
              </w:rPr>
              <w:t>　</w:t>
            </w:r>
          </w:p>
        </w:tc>
        <w:tc>
          <w:tcPr>
            <w:tcW w:w="4312"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495" w:type="dxa"/>
            <w:gridSpan w:val="2"/>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013"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gridAfter w:val="1"/>
          <w:wAfter w:w="125" w:type="dxa"/>
          <w:trHeight w:val="323" w:hRule="atLeast"/>
        </w:trPr>
        <w:tc>
          <w:tcPr>
            <w:tcW w:w="348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4312" w:type="dxa"/>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495" w:type="dxa"/>
            <w:gridSpan w:val="2"/>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013" w:type="dxa"/>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r>
      <w:tr>
        <w:tblPrEx>
          <w:tblLayout w:type="fixed"/>
          <w:tblCellMar>
            <w:top w:w="0" w:type="dxa"/>
            <w:left w:w="108" w:type="dxa"/>
            <w:bottom w:w="0" w:type="dxa"/>
            <w:right w:w="108" w:type="dxa"/>
          </w:tblCellMar>
        </w:tblPrEx>
        <w:trPr>
          <w:gridAfter w:val="1"/>
          <w:wAfter w:w="125" w:type="dxa"/>
          <w:trHeight w:val="323" w:hRule="atLeast"/>
        </w:trPr>
        <w:tc>
          <w:tcPr>
            <w:tcW w:w="348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4312" w:type="dxa"/>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495" w:type="dxa"/>
            <w:gridSpan w:val="2"/>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013" w:type="dxa"/>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r>
      <w:tr>
        <w:tblPrEx>
          <w:tblLayout w:type="fixed"/>
          <w:tblCellMar>
            <w:top w:w="0" w:type="dxa"/>
            <w:left w:w="108" w:type="dxa"/>
            <w:bottom w:w="0" w:type="dxa"/>
            <w:right w:w="108" w:type="dxa"/>
          </w:tblCellMar>
        </w:tblPrEx>
        <w:trPr>
          <w:gridAfter w:val="1"/>
          <w:wAfter w:w="125" w:type="dxa"/>
          <w:trHeight w:val="323" w:hRule="atLeast"/>
        </w:trPr>
        <w:tc>
          <w:tcPr>
            <w:tcW w:w="348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4312" w:type="dxa"/>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495" w:type="dxa"/>
            <w:gridSpan w:val="2"/>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013" w:type="dxa"/>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r>
      <w:tr>
        <w:tblPrEx>
          <w:tblLayout w:type="fixed"/>
          <w:tblCellMar>
            <w:top w:w="0" w:type="dxa"/>
            <w:left w:w="108" w:type="dxa"/>
            <w:bottom w:w="0" w:type="dxa"/>
            <w:right w:w="108" w:type="dxa"/>
          </w:tblCellMar>
        </w:tblPrEx>
        <w:trPr>
          <w:gridAfter w:val="1"/>
          <w:wAfter w:w="125" w:type="dxa"/>
          <w:trHeight w:val="323" w:hRule="atLeast"/>
        </w:trPr>
        <w:tc>
          <w:tcPr>
            <w:tcW w:w="7794"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汉仪中秀体简" w:hAnsi="汉仪中秀体简" w:eastAsia="汉仪中秀体简" w:cs="汉仪中秀体简"/>
                <w:sz w:val="18"/>
                <w:szCs w:val="18"/>
              </w:rPr>
            </w:pPr>
            <w:r>
              <w:rPr>
                <w:rFonts w:hint="eastAsia" w:ascii="汉仪中秀体简" w:hAnsi="汉仪中秀体简" w:eastAsia="汉仪中秀体简" w:cs="汉仪中秀体简"/>
                <w:sz w:val="18"/>
                <w:szCs w:val="18"/>
              </w:rPr>
              <w:t>总</w:t>
            </w:r>
            <w:r>
              <w:rPr>
                <w:rFonts w:ascii="汉仪中秀体简" w:hAnsi="汉仪中秀体简" w:eastAsia="汉仪中秀体简" w:cs="汉仪中秀体简"/>
                <w:sz w:val="18"/>
                <w:szCs w:val="18"/>
              </w:rPr>
              <w:t xml:space="preserve"> 计</w:t>
            </w:r>
          </w:p>
        </w:tc>
        <w:tc>
          <w:tcPr>
            <w:tcW w:w="1495" w:type="dxa"/>
            <w:gridSpan w:val="2"/>
            <w:tcBorders>
              <w:top w:val="nil"/>
              <w:left w:val="nil"/>
              <w:bottom w:val="single" w:color="auto" w:sz="4" w:space="0"/>
              <w:right w:val="single" w:color="auto" w:sz="4" w:space="0"/>
            </w:tcBorders>
            <w:noWrap w:val="0"/>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013" w:type="dxa"/>
            <w:tcBorders>
              <w:top w:val="nil"/>
              <w:left w:val="nil"/>
              <w:bottom w:val="single" w:color="auto" w:sz="4" w:space="0"/>
              <w:right w:val="single" w:color="auto" w:sz="4" w:space="0"/>
            </w:tcBorders>
            <w:noWrap w:val="0"/>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449" w:type="dxa"/>
            <w:gridSpan w:val="3"/>
            <w:tcBorders>
              <w:top w:val="nil"/>
              <w:left w:val="nil"/>
              <w:bottom w:val="single" w:color="auto" w:sz="4" w:space="0"/>
              <w:right w:val="single" w:color="auto" w:sz="4" w:space="0"/>
            </w:tcBorders>
            <w:noWrap w:val="0"/>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r>
      <w:tr>
        <w:tblPrEx>
          <w:tblLayout w:type="fixed"/>
          <w:tblCellMar>
            <w:top w:w="0" w:type="dxa"/>
            <w:left w:w="108" w:type="dxa"/>
            <w:bottom w:w="0" w:type="dxa"/>
            <w:right w:w="108" w:type="dxa"/>
          </w:tblCellMar>
        </w:tblPrEx>
        <w:trPr>
          <w:gridAfter w:val="1"/>
          <w:wAfter w:w="125" w:type="dxa"/>
          <w:trHeight w:val="633" w:hRule="atLeast"/>
        </w:trPr>
        <w:tc>
          <w:tcPr>
            <w:tcW w:w="13751" w:type="dxa"/>
            <w:gridSpan w:val="10"/>
            <w:tcBorders>
              <w:top w:val="single" w:color="auto" w:sz="4" w:space="0"/>
              <w:left w:val="nil"/>
              <w:bottom w:val="nil"/>
              <w:right w:val="nil"/>
            </w:tcBorders>
            <w:noWrap w:val="0"/>
            <w:vAlign w:val="center"/>
          </w:tcPr>
          <w:p>
            <w:pPr>
              <w:widowControl/>
              <w:spacing w:line="560" w:lineRule="exact"/>
              <w:jc w:val="left"/>
              <w:rPr>
                <w:rFonts w:ascii="TimesNewRoman" w:hAnsi="TimesNewRoman" w:cs="TimesNewRoman"/>
                <w:kern w:val="0"/>
                <w:sz w:val="24"/>
              </w:rPr>
            </w:pPr>
            <w:r>
              <w:rPr>
                <w:rFonts w:ascii="TimesNewRoman" w:hAnsi="TimesNewRoman" w:cs="TimesNewRoman"/>
                <w:kern w:val="0"/>
                <w:sz w:val="24"/>
              </w:rPr>
              <w:t>注：</w:t>
            </w:r>
            <w:r>
              <w:rPr>
                <w:rFonts w:hint="eastAsia" w:ascii="TimesNewRoman" w:hAnsi="TimesNewRoman" w:cs="TimesNewRoman"/>
                <w:kern w:val="0"/>
                <w:sz w:val="24"/>
                <w:lang w:eastAsia="zh-CN"/>
              </w:rPr>
              <w:t>寿县科学技术协会</w:t>
            </w:r>
            <w:r>
              <w:rPr>
                <w:rFonts w:ascii="TimesNewRoman" w:hAnsi="TimesNewRoman" w:cs="TimesNewRoman"/>
                <w:kern w:val="0"/>
                <w:sz w:val="24"/>
              </w:rPr>
              <w:t>没有国有资本经营预算拨款收入，也没有国有资本经营预算拨款安排的支出，故本表无数据。</w:t>
            </w:r>
          </w:p>
        </w:tc>
      </w:tr>
    </w:tbl>
    <w:p>
      <w:pPr>
        <w:spacing w:line="560" w:lineRule="exact"/>
        <w:jc w:val="center"/>
        <w:rPr>
          <w:rFonts w:hint="eastAsia" w:ascii="TimesNewRoman" w:hAnsi="TimesNewRoman" w:cs="TimesNewRoman"/>
          <w:kern w:val="0"/>
          <w:sz w:val="20"/>
        </w:rPr>
      </w:pPr>
    </w:p>
    <w:p>
      <w:pPr>
        <w:spacing w:line="560" w:lineRule="exact"/>
        <w:jc w:val="center"/>
        <w:rPr>
          <w:rFonts w:hint="eastAsia" w:ascii="TimesNewRoman" w:hAnsi="TimesNewRoman" w:cs="TimesNewRoman"/>
          <w:kern w:val="0"/>
          <w:sz w:val="20"/>
        </w:rPr>
      </w:pPr>
    </w:p>
    <w:p>
      <w:pPr>
        <w:spacing w:line="560" w:lineRule="exact"/>
        <w:jc w:val="center"/>
        <w:rPr>
          <w:rFonts w:hint="eastAsia" w:ascii="TimesNewRoman" w:hAnsi="TimesNewRoman" w:cs="TimesNewRoman"/>
          <w:kern w:val="0"/>
          <w:sz w:val="20"/>
        </w:rPr>
      </w:pPr>
    </w:p>
    <w:p>
      <w:pPr>
        <w:spacing w:line="560" w:lineRule="exact"/>
        <w:jc w:val="center"/>
        <w:rPr>
          <w:rFonts w:hint="eastAsia" w:ascii="TimesNewRoman" w:hAnsi="TimesNewRoman" w:cs="TimesNewRoman"/>
          <w:kern w:val="0"/>
          <w:sz w:val="20"/>
        </w:rPr>
      </w:pPr>
    </w:p>
    <w:p>
      <w:pPr>
        <w:spacing w:line="560" w:lineRule="exact"/>
        <w:jc w:val="center"/>
        <w:rPr>
          <w:rFonts w:ascii="TimesNewRoman" w:hAnsi="TimesNewRoman" w:cs="TimesNewRoman"/>
          <w:kern w:val="0"/>
          <w:sz w:val="20"/>
        </w:rPr>
      </w:pPr>
      <w:r>
        <w:rPr>
          <w:rFonts w:hint="eastAsia" w:ascii="TimesNewRoman" w:hAnsi="TimesNewRoman" w:cs="TimesNewRoman"/>
          <w:kern w:val="0"/>
          <w:sz w:val="20"/>
        </w:rPr>
        <w:t xml:space="preserve">                                                                                                          </w:t>
      </w:r>
      <w:r>
        <w:rPr>
          <w:rFonts w:hint="eastAsia" w:ascii="TimesNewRoman" w:hAnsi="TimesNewRoman" w:cs="TimesNewRoman"/>
          <w:kern w:val="0"/>
          <w:sz w:val="20"/>
          <w:lang w:eastAsia="zh-CN"/>
        </w:rPr>
        <w:t>部门</w:t>
      </w:r>
      <w:r>
        <w:rPr>
          <w:rFonts w:ascii="TimesNewRoman" w:hAnsi="TimesNewRoman" w:cs="TimesNewRoman"/>
          <w:kern w:val="0"/>
          <w:sz w:val="20"/>
        </w:rPr>
        <w:t>公开表9</w:t>
      </w:r>
    </w:p>
    <w:p>
      <w:pPr>
        <w:spacing w:line="560" w:lineRule="exact"/>
        <w:jc w:val="center"/>
        <w:rPr>
          <w:rFonts w:ascii="宋体" w:hAnsi="宋体" w:cs="TimesNewRoman"/>
          <w:b/>
          <w:bCs/>
          <w:kern w:val="0"/>
          <w:sz w:val="28"/>
          <w:szCs w:val="32"/>
        </w:rPr>
      </w:pPr>
      <w:r>
        <w:rPr>
          <w:rFonts w:hint="eastAsia" w:ascii="宋体" w:hAnsi="宋体" w:cs="TimesNewRoman"/>
          <w:b/>
          <w:bCs/>
          <w:kern w:val="0"/>
          <w:sz w:val="28"/>
          <w:szCs w:val="32"/>
          <w:lang w:eastAsia="zh-CN"/>
        </w:rPr>
        <w:t>寿县科学技术协会</w:t>
      </w:r>
      <w:r>
        <w:rPr>
          <w:rFonts w:hint="eastAsia" w:ascii="宋体" w:hAnsi="宋体" w:cs="TimesNewRoman"/>
          <w:b/>
          <w:bCs/>
          <w:kern w:val="0"/>
          <w:sz w:val="28"/>
          <w:szCs w:val="32"/>
        </w:rPr>
        <w:t>2024</w:t>
      </w:r>
      <w:r>
        <w:rPr>
          <w:rFonts w:ascii="宋体" w:hAnsi="宋体" w:cs="TimesNewRoman"/>
          <w:b/>
          <w:bCs/>
          <w:kern w:val="0"/>
          <w:sz w:val="28"/>
          <w:szCs w:val="32"/>
        </w:rPr>
        <w:t>年项目支出表</w:t>
      </w:r>
    </w:p>
    <w:p>
      <w:pPr>
        <w:spacing w:line="560" w:lineRule="exact"/>
        <w:ind w:left="7400" w:hanging="7400" w:hangingChars="3700"/>
        <w:rPr>
          <w:rFonts w:ascii="TimesNewRoman" w:hAnsi="TimesNewRoman" w:cs="TimesNewRoman"/>
          <w:kern w:val="0"/>
          <w:sz w:val="20"/>
        </w:rPr>
      </w:pPr>
      <w:r>
        <w:rPr>
          <w:rFonts w:ascii="TimesNewRoman" w:hAnsi="TimesNewRoman" w:cs="TimesNewRoman"/>
          <w:kern w:val="0"/>
          <w:sz w:val="20"/>
        </w:rPr>
        <w:t xml:space="preserve">                                                                                                                       单位：万元</w:t>
      </w:r>
    </w:p>
    <w:tbl>
      <w:tblPr>
        <w:tblStyle w:val="4"/>
        <w:tblW w:w="14071" w:type="dxa"/>
        <w:tblInd w:w="0" w:type="dxa"/>
        <w:tblLayout w:type="fixed"/>
        <w:tblCellMar>
          <w:top w:w="0" w:type="dxa"/>
          <w:left w:w="108" w:type="dxa"/>
          <w:bottom w:w="0" w:type="dxa"/>
          <w:right w:w="108" w:type="dxa"/>
        </w:tblCellMar>
      </w:tblPr>
      <w:tblGrid>
        <w:gridCol w:w="1352"/>
        <w:gridCol w:w="1425"/>
        <w:gridCol w:w="1845"/>
        <w:gridCol w:w="1065"/>
        <w:gridCol w:w="1290"/>
        <w:gridCol w:w="1275"/>
        <w:gridCol w:w="1125"/>
        <w:gridCol w:w="1035"/>
        <w:gridCol w:w="1140"/>
        <w:gridCol w:w="1185"/>
        <w:gridCol w:w="660"/>
        <w:gridCol w:w="674"/>
      </w:tblGrid>
      <w:tr>
        <w:tblPrEx>
          <w:tblLayout w:type="fixed"/>
          <w:tblCellMar>
            <w:top w:w="0" w:type="dxa"/>
            <w:left w:w="108" w:type="dxa"/>
            <w:bottom w:w="0" w:type="dxa"/>
            <w:right w:w="108" w:type="dxa"/>
          </w:tblCellMar>
        </w:tblPrEx>
        <w:trPr>
          <w:trHeight w:val="1124" w:hRule="atLeast"/>
        </w:trPr>
        <w:tc>
          <w:tcPr>
            <w:tcW w:w="135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类型</w:t>
            </w:r>
          </w:p>
        </w:tc>
        <w:tc>
          <w:tcPr>
            <w:tcW w:w="1425" w:type="dxa"/>
            <w:vMerge w:val="restart"/>
            <w:tcBorders>
              <w:top w:val="single" w:color="auto" w:sz="4" w:space="0"/>
              <w:left w:val="single" w:color="auto" w:sz="4" w:space="0"/>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项目名称</w:t>
            </w:r>
          </w:p>
        </w:tc>
        <w:tc>
          <w:tcPr>
            <w:tcW w:w="184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项目单位</w:t>
            </w:r>
          </w:p>
        </w:tc>
        <w:tc>
          <w:tcPr>
            <w:tcW w:w="1065"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合计</w:t>
            </w:r>
          </w:p>
        </w:tc>
        <w:tc>
          <w:tcPr>
            <w:tcW w:w="3690" w:type="dxa"/>
            <w:gridSpan w:val="3"/>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本年财政拨款</w:t>
            </w:r>
          </w:p>
        </w:tc>
        <w:tc>
          <w:tcPr>
            <w:tcW w:w="3360" w:type="dxa"/>
            <w:gridSpan w:val="3"/>
            <w:tcBorders>
              <w:top w:val="single" w:color="auto" w:sz="4" w:space="0"/>
              <w:left w:val="nil"/>
              <w:bottom w:val="single" w:color="auto" w:sz="4" w:space="0"/>
              <w:right w:val="single" w:color="000000"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财政拨款结转结余</w:t>
            </w:r>
          </w:p>
        </w:tc>
        <w:tc>
          <w:tcPr>
            <w:tcW w:w="660"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财政专户管理资金</w:t>
            </w:r>
          </w:p>
        </w:tc>
        <w:tc>
          <w:tcPr>
            <w:tcW w:w="674"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单位</w:t>
            </w:r>
          </w:p>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资金</w:t>
            </w:r>
          </w:p>
        </w:tc>
      </w:tr>
      <w:tr>
        <w:tblPrEx>
          <w:tblLayout w:type="fixed"/>
          <w:tblCellMar>
            <w:top w:w="0" w:type="dxa"/>
            <w:left w:w="108" w:type="dxa"/>
            <w:bottom w:w="0" w:type="dxa"/>
            <w:right w:w="108" w:type="dxa"/>
          </w:tblCellMar>
        </w:tblPrEx>
        <w:trPr>
          <w:trHeight w:val="1124" w:hRule="atLeast"/>
        </w:trPr>
        <w:tc>
          <w:tcPr>
            <w:tcW w:w="135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1425" w:type="dxa"/>
            <w:vMerge w:val="continue"/>
            <w:tcBorders>
              <w:top w:val="single" w:color="auto" w:sz="4" w:space="0"/>
              <w:left w:val="single" w:color="auto" w:sz="4" w:space="0"/>
              <w:bottom w:val="nil"/>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184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1065"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1290" w:type="dxa"/>
            <w:tcBorders>
              <w:top w:val="nil"/>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一般公共预算</w:t>
            </w:r>
          </w:p>
        </w:tc>
        <w:tc>
          <w:tcPr>
            <w:tcW w:w="1275" w:type="dxa"/>
            <w:tcBorders>
              <w:top w:val="nil"/>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政府性</w:t>
            </w:r>
          </w:p>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基金预算</w:t>
            </w:r>
          </w:p>
        </w:tc>
        <w:tc>
          <w:tcPr>
            <w:tcW w:w="1125" w:type="dxa"/>
            <w:tcBorders>
              <w:top w:val="nil"/>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国有资本经营预算</w:t>
            </w:r>
          </w:p>
        </w:tc>
        <w:tc>
          <w:tcPr>
            <w:tcW w:w="1035" w:type="dxa"/>
            <w:tcBorders>
              <w:top w:val="nil"/>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一般公共预算</w:t>
            </w:r>
          </w:p>
        </w:tc>
        <w:tc>
          <w:tcPr>
            <w:tcW w:w="1140" w:type="dxa"/>
            <w:tcBorders>
              <w:top w:val="nil"/>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政府性</w:t>
            </w:r>
          </w:p>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基金预算</w:t>
            </w:r>
          </w:p>
        </w:tc>
        <w:tc>
          <w:tcPr>
            <w:tcW w:w="1185" w:type="dxa"/>
            <w:tcBorders>
              <w:top w:val="nil"/>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国有资本经营预算</w:t>
            </w:r>
          </w:p>
        </w:tc>
        <w:tc>
          <w:tcPr>
            <w:tcW w:w="660"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c>
          <w:tcPr>
            <w:tcW w:w="674"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ascii="TimesNewRoman" w:hAnsi="TimesNewRoman" w:cs="TimesNewRoman"/>
                <w:b/>
                <w:bCs/>
                <w:kern w:val="0"/>
                <w:sz w:val="18"/>
                <w:szCs w:val="18"/>
              </w:rPr>
            </w:pPr>
          </w:p>
        </w:tc>
      </w:tr>
      <w:tr>
        <w:tblPrEx>
          <w:tblLayout w:type="fixed"/>
          <w:tblCellMar>
            <w:top w:w="0" w:type="dxa"/>
            <w:left w:w="108" w:type="dxa"/>
            <w:bottom w:w="0" w:type="dxa"/>
            <w:right w:w="108" w:type="dxa"/>
          </w:tblCellMar>
        </w:tblPrEx>
        <w:trPr>
          <w:trHeight w:val="531" w:hRule="atLeast"/>
        </w:trPr>
        <w:tc>
          <w:tcPr>
            <w:tcW w:w="1352"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特定目标类</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kern w:val="0"/>
                <w:sz w:val="18"/>
                <w:szCs w:val="18"/>
              </w:rPr>
            </w:pPr>
            <w:r>
              <w:rPr>
                <w:rFonts w:hint="eastAsia" w:ascii="宋体" w:hAnsi="宋体" w:eastAsia="宋体" w:cs="宋体"/>
                <w:i w:val="0"/>
                <w:color w:val="000000"/>
                <w:kern w:val="0"/>
                <w:sz w:val="20"/>
                <w:szCs w:val="20"/>
                <w:u w:val="none"/>
                <w:lang w:val="en-US" w:eastAsia="zh-CN" w:bidi="ar"/>
              </w:rPr>
              <w:t>科普工作经费</w:t>
            </w:r>
          </w:p>
        </w:tc>
        <w:tc>
          <w:tcPr>
            <w:tcW w:w="1845" w:type="dxa"/>
            <w:tcBorders>
              <w:top w:val="nil"/>
              <w:left w:val="nil"/>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寿县科学技术协会</w:t>
            </w:r>
          </w:p>
        </w:tc>
        <w:tc>
          <w:tcPr>
            <w:tcW w:w="1065"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45.60</w:t>
            </w:r>
          </w:p>
        </w:tc>
        <w:tc>
          <w:tcPr>
            <w:tcW w:w="129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45.60</w:t>
            </w:r>
          </w:p>
        </w:tc>
        <w:tc>
          <w:tcPr>
            <w:tcW w:w="1275" w:type="dxa"/>
            <w:tcBorders>
              <w:top w:val="single" w:color="auto" w:sz="4" w:space="0"/>
              <w:left w:val="nil"/>
              <w:bottom w:val="single" w:color="auto" w:sz="4" w:space="0"/>
              <w:right w:val="single" w:color="auto" w:sz="4" w:space="0"/>
            </w:tcBorders>
            <w:noWrap w:val="0"/>
            <w:vAlign w:val="center"/>
          </w:tcPr>
          <w:p>
            <w:pPr>
              <w:jc w:val="right"/>
              <w:rPr>
                <w:rFonts w:ascii="TimesNewRoman" w:hAnsi="TimesNewRoman" w:cs="TimesNewRoman"/>
                <w:b/>
                <w:bCs/>
                <w:kern w:val="0"/>
                <w:sz w:val="18"/>
                <w:szCs w:val="18"/>
              </w:rPr>
            </w:pPr>
          </w:p>
        </w:tc>
        <w:tc>
          <w:tcPr>
            <w:tcW w:w="1125" w:type="dxa"/>
            <w:tcBorders>
              <w:top w:val="single" w:color="auto" w:sz="4" w:space="0"/>
              <w:left w:val="nil"/>
              <w:bottom w:val="single" w:color="auto" w:sz="4" w:space="0"/>
              <w:right w:val="single" w:color="auto" w:sz="4" w:space="0"/>
            </w:tcBorders>
            <w:noWrap w:val="0"/>
            <w:vAlign w:val="center"/>
          </w:tcPr>
          <w:p>
            <w:pPr>
              <w:jc w:val="right"/>
              <w:rPr>
                <w:rFonts w:ascii="TimesNewRoman" w:hAnsi="TimesNewRoman" w:cs="TimesNewRoman"/>
                <w:b/>
                <w:bCs/>
                <w:kern w:val="0"/>
                <w:sz w:val="18"/>
                <w:szCs w:val="18"/>
              </w:rPr>
            </w:pPr>
          </w:p>
        </w:tc>
        <w:tc>
          <w:tcPr>
            <w:tcW w:w="1035" w:type="dxa"/>
            <w:tcBorders>
              <w:top w:val="single" w:color="auto" w:sz="4" w:space="0"/>
              <w:left w:val="nil"/>
              <w:bottom w:val="single" w:color="auto" w:sz="4" w:space="0"/>
              <w:right w:val="single" w:color="auto" w:sz="4" w:space="0"/>
            </w:tcBorders>
            <w:noWrap w:val="0"/>
            <w:vAlign w:val="center"/>
          </w:tcPr>
          <w:p>
            <w:pPr>
              <w:jc w:val="right"/>
              <w:rPr>
                <w:rFonts w:ascii="TimesNewRoman" w:hAnsi="TimesNewRoman" w:cs="TimesNewRoman"/>
                <w:b/>
                <w:bCs/>
                <w:kern w:val="0"/>
                <w:sz w:val="18"/>
                <w:szCs w:val="18"/>
              </w:rPr>
            </w:pPr>
          </w:p>
        </w:tc>
        <w:tc>
          <w:tcPr>
            <w:tcW w:w="1140" w:type="dxa"/>
            <w:tcBorders>
              <w:top w:val="single" w:color="auto" w:sz="4" w:space="0"/>
              <w:left w:val="nil"/>
              <w:bottom w:val="single" w:color="auto" w:sz="4" w:space="0"/>
              <w:right w:val="single" w:color="auto" w:sz="4" w:space="0"/>
            </w:tcBorders>
            <w:noWrap w:val="0"/>
            <w:vAlign w:val="center"/>
          </w:tcPr>
          <w:p>
            <w:pPr>
              <w:jc w:val="right"/>
              <w:rPr>
                <w:rFonts w:ascii="TimesNewRoman" w:hAnsi="TimesNewRoman" w:cs="TimesNewRoman"/>
                <w:b/>
                <w:bCs/>
                <w:kern w:val="0"/>
                <w:sz w:val="18"/>
                <w:szCs w:val="18"/>
              </w:rPr>
            </w:pPr>
          </w:p>
        </w:tc>
        <w:tc>
          <w:tcPr>
            <w:tcW w:w="1185" w:type="dxa"/>
            <w:tcBorders>
              <w:top w:val="single" w:color="auto" w:sz="4" w:space="0"/>
              <w:left w:val="nil"/>
              <w:bottom w:val="single" w:color="auto" w:sz="4" w:space="0"/>
              <w:right w:val="single" w:color="auto" w:sz="4" w:space="0"/>
            </w:tcBorders>
            <w:noWrap w:val="0"/>
            <w:vAlign w:val="center"/>
          </w:tcPr>
          <w:p>
            <w:pPr>
              <w:jc w:val="right"/>
              <w:rPr>
                <w:rFonts w:ascii="TimesNewRoman" w:hAnsi="TimesNewRoman" w:cs="TimesNewRoman"/>
                <w:b/>
                <w:bCs/>
                <w:kern w:val="0"/>
                <w:sz w:val="18"/>
                <w:szCs w:val="18"/>
              </w:rPr>
            </w:pPr>
          </w:p>
        </w:tc>
        <w:tc>
          <w:tcPr>
            <w:tcW w:w="660" w:type="dxa"/>
            <w:tcBorders>
              <w:top w:val="nil"/>
              <w:left w:val="nil"/>
              <w:bottom w:val="single" w:color="auto" w:sz="4" w:space="0"/>
              <w:right w:val="single" w:color="auto" w:sz="4" w:space="0"/>
            </w:tcBorders>
            <w:noWrap w:val="0"/>
            <w:vAlign w:val="center"/>
          </w:tcPr>
          <w:p>
            <w:pPr>
              <w:jc w:val="right"/>
              <w:rPr>
                <w:rFonts w:ascii="TimesNewRoman" w:hAnsi="TimesNewRoman" w:cs="TimesNewRoman"/>
                <w:b/>
                <w:bCs/>
                <w:kern w:val="0"/>
                <w:sz w:val="18"/>
                <w:szCs w:val="18"/>
              </w:rPr>
            </w:pPr>
          </w:p>
        </w:tc>
        <w:tc>
          <w:tcPr>
            <w:tcW w:w="674" w:type="dxa"/>
            <w:tcBorders>
              <w:top w:val="nil"/>
              <w:left w:val="nil"/>
              <w:bottom w:val="single" w:color="auto" w:sz="4" w:space="0"/>
              <w:right w:val="single" w:color="auto" w:sz="4" w:space="0"/>
            </w:tcBorders>
            <w:noWrap w:val="0"/>
            <w:vAlign w:val="center"/>
          </w:tcPr>
          <w:p>
            <w:pPr>
              <w:jc w:val="right"/>
              <w:rPr>
                <w:rFonts w:ascii="TimesNewRoman" w:hAnsi="TimesNewRoman" w:cs="TimesNewRoman"/>
                <w:b/>
                <w:bCs/>
                <w:kern w:val="0"/>
                <w:sz w:val="18"/>
                <w:szCs w:val="18"/>
              </w:rPr>
            </w:pPr>
          </w:p>
        </w:tc>
      </w:tr>
      <w:tr>
        <w:tblPrEx>
          <w:tblLayout w:type="fixed"/>
          <w:tblCellMar>
            <w:top w:w="0" w:type="dxa"/>
            <w:left w:w="108" w:type="dxa"/>
            <w:bottom w:w="0" w:type="dxa"/>
            <w:right w:w="108" w:type="dxa"/>
          </w:tblCellMar>
        </w:tblPrEx>
        <w:trPr>
          <w:trHeight w:val="531" w:hRule="atLeast"/>
        </w:trPr>
        <w:tc>
          <w:tcPr>
            <w:tcW w:w="1352"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425"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kern w:val="0"/>
                <w:sz w:val="18"/>
                <w:szCs w:val="18"/>
              </w:rPr>
            </w:pPr>
          </w:p>
        </w:tc>
        <w:tc>
          <w:tcPr>
            <w:tcW w:w="1845"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6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29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27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12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03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14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18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6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74"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531" w:hRule="atLeast"/>
        </w:trPr>
        <w:tc>
          <w:tcPr>
            <w:tcW w:w="1352"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425" w:type="dxa"/>
            <w:tcBorders>
              <w:top w:val="nil"/>
              <w:left w:val="nil"/>
              <w:bottom w:val="single" w:color="auto" w:sz="4" w:space="0"/>
              <w:right w:val="single" w:color="auto" w:sz="4" w:space="0"/>
            </w:tcBorders>
            <w:noWrap w:val="0"/>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kern w:val="0"/>
                <w:sz w:val="18"/>
                <w:szCs w:val="18"/>
              </w:rPr>
              <w:t>　</w:t>
            </w:r>
          </w:p>
        </w:tc>
        <w:tc>
          <w:tcPr>
            <w:tcW w:w="1845"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6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29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27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12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03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14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118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6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c>
          <w:tcPr>
            <w:tcW w:w="674"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531" w:hRule="atLeast"/>
        </w:trPr>
        <w:tc>
          <w:tcPr>
            <w:tcW w:w="4622" w:type="dxa"/>
            <w:gridSpan w:val="3"/>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b/>
                <w:bCs/>
                <w:kern w:val="0"/>
                <w:sz w:val="18"/>
                <w:szCs w:val="18"/>
              </w:rPr>
            </w:pPr>
            <w:r>
              <w:rPr>
                <w:rFonts w:hint="eastAsia" w:ascii="TimesNewRoman" w:hAnsi="TimesNewRoman" w:cs="TimesNewRoman"/>
                <w:b/>
                <w:bCs/>
                <w:kern w:val="0"/>
                <w:sz w:val="18"/>
                <w:szCs w:val="18"/>
              </w:rPr>
              <w:t xml:space="preserve">总 </w:t>
            </w:r>
            <w:r>
              <w:rPr>
                <w:rFonts w:ascii="TimesNewRoman" w:hAnsi="TimesNewRoman" w:cs="TimesNewRoman"/>
                <w:b/>
                <w:bCs/>
                <w:kern w:val="0"/>
                <w:sz w:val="18"/>
                <w:szCs w:val="18"/>
              </w:rPr>
              <w:t>计　</w:t>
            </w:r>
          </w:p>
        </w:tc>
        <w:tc>
          <w:tcPr>
            <w:tcW w:w="1065"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45.60</w:t>
            </w:r>
          </w:p>
        </w:tc>
        <w:tc>
          <w:tcPr>
            <w:tcW w:w="129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b/>
                <w:bCs/>
                <w:kern w:val="0"/>
                <w:sz w:val="18"/>
                <w:szCs w:val="18"/>
              </w:rPr>
            </w:pPr>
            <w:r>
              <w:rPr>
                <w:rFonts w:hint="eastAsia" w:ascii="宋体" w:hAnsi="宋体" w:eastAsia="宋体" w:cs="宋体"/>
                <w:i w:val="0"/>
                <w:color w:val="000000"/>
                <w:kern w:val="0"/>
                <w:sz w:val="20"/>
                <w:szCs w:val="20"/>
                <w:u w:val="none"/>
                <w:lang w:val="en-US" w:eastAsia="zh-CN" w:bidi="ar"/>
              </w:rPr>
              <w:t>45.60</w:t>
            </w:r>
          </w:p>
        </w:tc>
        <w:tc>
          <w:tcPr>
            <w:tcW w:w="127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112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103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114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118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66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c>
          <w:tcPr>
            <w:tcW w:w="674"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b/>
                <w:bCs/>
                <w:kern w:val="0"/>
                <w:sz w:val="18"/>
                <w:szCs w:val="18"/>
              </w:rPr>
            </w:pPr>
            <w:r>
              <w:rPr>
                <w:rFonts w:ascii="TimesNewRoman" w:hAnsi="TimesNewRoman" w:cs="TimesNewRoman"/>
                <w:b/>
                <w:bCs/>
                <w:kern w:val="0"/>
                <w:sz w:val="18"/>
                <w:szCs w:val="18"/>
              </w:rPr>
              <w:t>　</w:t>
            </w:r>
          </w:p>
        </w:tc>
      </w:tr>
    </w:tbl>
    <w:p>
      <w:pPr>
        <w:pStyle w:val="3"/>
        <w:wordWrap w:val="0"/>
        <w:adjustRightInd w:val="0"/>
        <w:snapToGrid w:val="0"/>
        <w:spacing w:after="156" w:afterLines="50" w:line="560" w:lineRule="exact"/>
        <w:jc w:val="center"/>
        <w:rPr>
          <w:rFonts w:hint="eastAsia" w:ascii="TimesNewRoman" w:hAnsi="TimesNewRoman" w:cs="TimesNewRoman"/>
          <w:sz w:val="20"/>
          <w:szCs w:val="20"/>
        </w:rPr>
      </w:pPr>
    </w:p>
    <w:p>
      <w:pPr>
        <w:pStyle w:val="3"/>
        <w:wordWrap w:val="0"/>
        <w:adjustRightInd w:val="0"/>
        <w:snapToGrid w:val="0"/>
        <w:spacing w:after="156" w:afterLines="50" w:line="560" w:lineRule="exact"/>
        <w:jc w:val="center"/>
        <w:rPr>
          <w:rFonts w:hint="eastAsia" w:ascii="TimesNewRoman" w:hAnsi="TimesNewRoman" w:cs="TimesNewRoman"/>
          <w:sz w:val="20"/>
          <w:szCs w:val="20"/>
        </w:rPr>
      </w:pPr>
    </w:p>
    <w:p>
      <w:pPr>
        <w:pStyle w:val="3"/>
        <w:wordWrap w:val="0"/>
        <w:adjustRightInd w:val="0"/>
        <w:snapToGrid w:val="0"/>
        <w:spacing w:after="156" w:afterLines="50" w:line="560" w:lineRule="exact"/>
        <w:jc w:val="center"/>
        <w:rPr>
          <w:rFonts w:hint="eastAsia" w:ascii="TimesNewRoman" w:hAnsi="TimesNewRoman" w:cs="TimesNewRoman"/>
          <w:sz w:val="20"/>
          <w:szCs w:val="20"/>
        </w:rPr>
      </w:pPr>
    </w:p>
    <w:p>
      <w:pPr>
        <w:pStyle w:val="3"/>
        <w:wordWrap w:val="0"/>
        <w:adjustRightInd w:val="0"/>
        <w:snapToGrid w:val="0"/>
        <w:spacing w:after="156" w:afterLines="50" w:line="560" w:lineRule="exact"/>
        <w:jc w:val="center"/>
        <w:rPr>
          <w:rFonts w:ascii="TimesNewRoman" w:hAnsi="TimesNewRoman" w:cs="TimesNewRoman"/>
          <w:sz w:val="20"/>
          <w:szCs w:val="20"/>
        </w:rPr>
      </w:pPr>
      <w:r>
        <w:rPr>
          <w:rFonts w:hint="eastAsia" w:ascii="TimesNewRoman" w:hAnsi="TimesNewRoman" w:cs="TimesNewRoman"/>
          <w:sz w:val="20"/>
          <w:szCs w:val="20"/>
        </w:rPr>
        <w:t xml:space="preserve">                                                 </w:t>
      </w:r>
      <w:r>
        <w:rPr>
          <w:rFonts w:ascii="TimesNewRoman" w:hAnsi="TimesNewRoman" w:cs="TimesNewRoman"/>
          <w:sz w:val="20"/>
          <w:szCs w:val="20"/>
        </w:rPr>
        <w:t xml:space="preserve">    </w:t>
      </w:r>
      <w:r>
        <w:rPr>
          <w:rFonts w:hint="eastAsia" w:ascii="TimesNewRoman" w:hAnsi="TimesNewRoman" w:cs="TimesNewRoman"/>
          <w:sz w:val="20"/>
          <w:szCs w:val="20"/>
        </w:rPr>
        <w:t xml:space="preserve">                                                      </w:t>
      </w:r>
      <w:r>
        <w:rPr>
          <w:rFonts w:hint="eastAsia" w:ascii="TimesNewRoman" w:hAnsi="TimesNewRoman" w:cs="TimesNewRoman"/>
          <w:sz w:val="20"/>
          <w:szCs w:val="20"/>
          <w:lang w:eastAsia="zh-CN"/>
        </w:rPr>
        <w:t>部门</w:t>
      </w:r>
      <w:r>
        <w:rPr>
          <w:rFonts w:ascii="TimesNewRoman" w:hAnsi="TimesNewRoman" w:cs="TimesNewRoman"/>
          <w:sz w:val="20"/>
          <w:szCs w:val="20"/>
        </w:rPr>
        <w:t>公开表10</w:t>
      </w:r>
    </w:p>
    <w:tbl>
      <w:tblPr>
        <w:tblStyle w:val="4"/>
        <w:tblW w:w="13780" w:type="dxa"/>
        <w:tblInd w:w="0" w:type="dxa"/>
        <w:tblLayout w:type="fixed"/>
        <w:tblCellMar>
          <w:top w:w="0" w:type="dxa"/>
          <w:left w:w="108" w:type="dxa"/>
          <w:bottom w:w="0" w:type="dxa"/>
          <w:right w:w="108" w:type="dxa"/>
        </w:tblCellMar>
      </w:tblPr>
      <w:tblGrid>
        <w:gridCol w:w="3122"/>
        <w:gridCol w:w="1725"/>
        <w:gridCol w:w="1560"/>
        <w:gridCol w:w="1665"/>
        <w:gridCol w:w="1590"/>
        <w:gridCol w:w="1410"/>
        <w:gridCol w:w="1410"/>
        <w:gridCol w:w="1298"/>
      </w:tblGrid>
      <w:tr>
        <w:tblPrEx>
          <w:tblLayout w:type="fixed"/>
          <w:tblCellMar>
            <w:top w:w="0" w:type="dxa"/>
            <w:left w:w="108" w:type="dxa"/>
            <w:bottom w:w="0" w:type="dxa"/>
            <w:right w:w="108" w:type="dxa"/>
          </w:tblCellMar>
        </w:tblPrEx>
        <w:trPr>
          <w:trHeight w:val="823" w:hRule="atLeast"/>
        </w:trPr>
        <w:tc>
          <w:tcPr>
            <w:tcW w:w="13780" w:type="dxa"/>
            <w:gridSpan w:val="8"/>
            <w:tcBorders>
              <w:top w:val="nil"/>
              <w:left w:val="nil"/>
              <w:bottom w:val="nil"/>
              <w:right w:val="nil"/>
            </w:tcBorders>
            <w:noWrap w:val="0"/>
            <w:vAlign w:val="center"/>
          </w:tcPr>
          <w:p>
            <w:pPr>
              <w:spacing w:line="560" w:lineRule="exact"/>
              <w:jc w:val="center"/>
              <w:rPr>
                <w:rFonts w:hint="eastAsia" w:ascii="宋体" w:hAnsi="宋体" w:cs="TimesNewRoman"/>
                <w:b/>
                <w:bCs/>
                <w:kern w:val="0"/>
                <w:sz w:val="28"/>
                <w:szCs w:val="32"/>
                <w:lang w:eastAsia="zh-CN"/>
              </w:rPr>
            </w:pPr>
            <w:r>
              <w:rPr>
                <w:rFonts w:hint="eastAsia" w:ascii="宋体" w:hAnsi="宋体" w:cs="TimesNewRoman"/>
                <w:b/>
                <w:bCs/>
                <w:kern w:val="0"/>
                <w:sz w:val="28"/>
                <w:szCs w:val="32"/>
                <w:lang w:eastAsia="zh-CN"/>
              </w:rPr>
              <w:t>寿县科学技术协会2024年政府采购支出表</w:t>
            </w:r>
          </w:p>
          <w:p>
            <w:pPr>
              <w:widowControl/>
              <w:spacing w:line="280" w:lineRule="exact"/>
              <w:jc w:val="center"/>
              <w:rPr>
                <w:rFonts w:ascii="TimesNewRoman" w:hAnsi="TimesNewRoman" w:cs="TimesNewRoman"/>
                <w:b/>
                <w:bCs/>
                <w:kern w:val="0"/>
                <w:szCs w:val="32"/>
              </w:rPr>
            </w:pPr>
            <w:r>
              <w:rPr>
                <w:rFonts w:ascii="TimesNewRoman" w:hAnsi="TimesNewRoman" w:cs="TimesNewRoman"/>
                <w:kern w:val="0"/>
                <w:sz w:val="20"/>
              </w:rPr>
              <w:t xml:space="preserve">                                                                      单位：万元</w:t>
            </w:r>
          </w:p>
        </w:tc>
      </w:tr>
      <w:tr>
        <w:tblPrEx>
          <w:tblLayout w:type="fixed"/>
          <w:tblCellMar>
            <w:top w:w="0" w:type="dxa"/>
            <w:left w:w="108" w:type="dxa"/>
            <w:bottom w:w="0" w:type="dxa"/>
            <w:right w:w="108" w:type="dxa"/>
          </w:tblCellMar>
        </w:tblPrEx>
        <w:trPr>
          <w:trHeight w:val="794" w:hRule="atLeast"/>
        </w:trPr>
        <w:tc>
          <w:tcPr>
            <w:tcW w:w="3122" w:type="dxa"/>
            <w:tcBorders>
              <w:top w:val="single" w:color="auto" w:sz="4" w:space="0"/>
              <w:left w:val="single" w:color="auto" w:sz="4" w:space="0"/>
              <w:bottom w:val="nil"/>
              <w:right w:val="single" w:color="auto" w:sz="4" w:space="0"/>
            </w:tcBorders>
            <w:noWrap w:val="0"/>
            <w:vAlign w:val="center"/>
          </w:tcPr>
          <w:p>
            <w:pPr>
              <w:widowControl/>
              <w:spacing w:line="280" w:lineRule="exact"/>
              <w:jc w:val="center"/>
              <w:rPr>
                <w:rFonts w:ascii="TimesNewRoman" w:hAnsi="TimesNewRoman" w:cs="TimesNewRoman"/>
                <w:b/>
                <w:bCs/>
                <w:kern w:val="0"/>
                <w:sz w:val="20"/>
              </w:rPr>
            </w:pPr>
            <w:r>
              <w:rPr>
                <w:rFonts w:ascii="TimesNewRoman" w:hAnsi="TimesNewRoman" w:cs="TimesNewRoman"/>
                <w:b/>
                <w:bCs/>
                <w:kern w:val="0"/>
                <w:sz w:val="20"/>
              </w:rPr>
              <w:t>项目名称</w:t>
            </w:r>
          </w:p>
        </w:tc>
        <w:tc>
          <w:tcPr>
            <w:tcW w:w="1725" w:type="dxa"/>
            <w:tcBorders>
              <w:top w:val="single" w:color="auto" w:sz="4" w:space="0"/>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20"/>
              </w:rPr>
            </w:pPr>
            <w:r>
              <w:rPr>
                <w:rFonts w:ascii="TimesNewRoman" w:hAnsi="TimesNewRoman" w:cs="TimesNewRoman"/>
                <w:b/>
                <w:bCs/>
                <w:kern w:val="0"/>
                <w:sz w:val="20"/>
              </w:rPr>
              <w:t>政府采购品目</w:t>
            </w:r>
          </w:p>
        </w:tc>
        <w:tc>
          <w:tcPr>
            <w:tcW w:w="1560" w:type="dxa"/>
            <w:tcBorders>
              <w:top w:val="single" w:color="auto" w:sz="4" w:space="0"/>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20"/>
              </w:rPr>
            </w:pPr>
            <w:r>
              <w:rPr>
                <w:rFonts w:ascii="TimesNewRoman" w:hAnsi="TimesNewRoman" w:cs="TimesNewRoman"/>
                <w:b/>
                <w:bCs/>
                <w:kern w:val="0"/>
                <w:sz w:val="20"/>
              </w:rPr>
              <w:t>合计</w:t>
            </w:r>
          </w:p>
        </w:tc>
        <w:tc>
          <w:tcPr>
            <w:tcW w:w="1665" w:type="dxa"/>
            <w:tcBorders>
              <w:top w:val="single" w:color="auto" w:sz="4" w:space="0"/>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20"/>
              </w:rPr>
            </w:pPr>
            <w:r>
              <w:rPr>
                <w:rFonts w:ascii="TimesNewRoman" w:hAnsi="TimesNewRoman" w:cs="TimesNewRoman"/>
                <w:b/>
                <w:bCs/>
                <w:kern w:val="0"/>
                <w:sz w:val="20"/>
              </w:rPr>
              <w:t>一般公共预算</w:t>
            </w:r>
          </w:p>
        </w:tc>
        <w:tc>
          <w:tcPr>
            <w:tcW w:w="1590" w:type="dxa"/>
            <w:tcBorders>
              <w:top w:val="single" w:color="auto" w:sz="4" w:space="0"/>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20"/>
              </w:rPr>
            </w:pPr>
            <w:r>
              <w:rPr>
                <w:rFonts w:ascii="TimesNewRoman" w:hAnsi="TimesNewRoman" w:cs="TimesNewRoman"/>
                <w:b/>
                <w:bCs/>
                <w:kern w:val="0"/>
                <w:sz w:val="20"/>
              </w:rPr>
              <w:t>政府性</w:t>
            </w:r>
          </w:p>
          <w:p>
            <w:pPr>
              <w:widowControl/>
              <w:spacing w:line="280" w:lineRule="exact"/>
              <w:jc w:val="center"/>
              <w:rPr>
                <w:rFonts w:ascii="TimesNewRoman" w:hAnsi="TimesNewRoman" w:cs="TimesNewRoman"/>
                <w:b/>
                <w:bCs/>
                <w:kern w:val="0"/>
                <w:sz w:val="20"/>
              </w:rPr>
            </w:pPr>
            <w:r>
              <w:rPr>
                <w:rFonts w:ascii="TimesNewRoman" w:hAnsi="TimesNewRoman" w:cs="TimesNewRoman"/>
                <w:b/>
                <w:bCs/>
                <w:kern w:val="0"/>
                <w:sz w:val="20"/>
              </w:rPr>
              <w:t>基金预算</w:t>
            </w:r>
          </w:p>
        </w:tc>
        <w:tc>
          <w:tcPr>
            <w:tcW w:w="1410" w:type="dxa"/>
            <w:tcBorders>
              <w:top w:val="single" w:color="auto" w:sz="4" w:space="0"/>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20"/>
              </w:rPr>
            </w:pPr>
            <w:r>
              <w:rPr>
                <w:rFonts w:ascii="TimesNewRoman" w:hAnsi="TimesNewRoman" w:cs="TimesNewRoman"/>
                <w:b/>
                <w:bCs/>
                <w:kern w:val="0"/>
                <w:sz w:val="20"/>
              </w:rPr>
              <w:t>国有资本经营预算</w:t>
            </w:r>
          </w:p>
        </w:tc>
        <w:tc>
          <w:tcPr>
            <w:tcW w:w="1410" w:type="dxa"/>
            <w:tcBorders>
              <w:top w:val="single" w:color="auto" w:sz="4" w:space="0"/>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20"/>
              </w:rPr>
            </w:pPr>
            <w:r>
              <w:rPr>
                <w:rFonts w:ascii="TimesNewRoman" w:hAnsi="TimesNewRoman" w:cs="TimesNewRoman"/>
                <w:b/>
                <w:bCs/>
                <w:kern w:val="0"/>
                <w:sz w:val="20"/>
              </w:rPr>
              <w:t>财政专户管理资金</w:t>
            </w:r>
          </w:p>
        </w:tc>
        <w:tc>
          <w:tcPr>
            <w:tcW w:w="1298" w:type="dxa"/>
            <w:tcBorders>
              <w:top w:val="single" w:color="auto" w:sz="4" w:space="0"/>
              <w:left w:val="nil"/>
              <w:bottom w:val="nil"/>
              <w:right w:val="single" w:color="auto" w:sz="4" w:space="0"/>
            </w:tcBorders>
            <w:noWrap w:val="0"/>
            <w:vAlign w:val="center"/>
          </w:tcPr>
          <w:p>
            <w:pPr>
              <w:widowControl/>
              <w:spacing w:line="280" w:lineRule="exact"/>
              <w:jc w:val="center"/>
              <w:rPr>
                <w:rFonts w:ascii="TimesNewRoman" w:hAnsi="TimesNewRoman" w:cs="TimesNewRoman"/>
                <w:b/>
                <w:bCs/>
                <w:kern w:val="0"/>
                <w:sz w:val="20"/>
              </w:rPr>
            </w:pPr>
            <w:r>
              <w:rPr>
                <w:rFonts w:ascii="TimesNewRoman" w:hAnsi="TimesNewRoman" w:cs="TimesNewRoman"/>
                <w:b/>
                <w:bCs/>
                <w:kern w:val="0"/>
                <w:sz w:val="20"/>
              </w:rPr>
              <w:t>单位资金</w:t>
            </w:r>
          </w:p>
        </w:tc>
      </w:tr>
      <w:tr>
        <w:tblPrEx>
          <w:tblLayout w:type="fixed"/>
          <w:tblCellMar>
            <w:top w:w="0" w:type="dxa"/>
            <w:left w:w="108" w:type="dxa"/>
            <w:bottom w:w="0" w:type="dxa"/>
            <w:right w:w="108" w:type="dxa"/>
          </w:tblCellMar>
        </w:tblPrEx>
        <w:trPr>
          <w:trHeight w:val="622" w:hRule="atLeast"/>
        </w:trPr>
        <w:tc>
          <w:tcPr>
            <w:tcW w:w="3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TimesNewRoman" w:hAnsi="TimesNewRoman" w:cs="TimesNewRoman"/>
                <w:kern w:val="0"/>
                <w:sz w:val="20"/>
              </w:rPr>
            </w:pPr>
            <w:r>
              <w:rPr>
                <w:rFonts w:hint="eastAsia" w:ascii="宋体" w:hAnsi="宋体" w:eastAsia="宋体" w:cs="宋体"/>
                <w:i w:val="0"/>
                <w:color w:val="000000"/>
                <w:kern w:val="0"/>
                <w:sz w:val="20"/>
                <w:szCs w:val="20"/>
                <w:u w:val="none"/>
                <w:lang w:val="en-US" w:eastAsia="zh-CN" w:bidi="ar"/>
              </w:rPr>
              <w:t>寿县科学技术协会_在职人员综合定额公务费（一）</w:t>
            </w:r>
          </w:p>
        </w:tc>
        <w:tc>
          <w:tcPr>
            <w:tcW w:w="17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both"/>
              <w:textAlignment w:val="center"/>
              <w:rPr>
                <w:rFonts w:ascii="TimesNewRoman" w:hAnsi="TimesNewRoman" w:cs="TimesNewRoman"/>
                <w:kern w:val="0"/>
                <w:sz w:val="20"/>
              </w:rPr>
            </w:pPr>
            <w:r>
              <w:rPr>
                <w:rFonts w:hint="eastAsia" w:ascii="宋体" w:hAnsi="宋体" w:eastAsia="宋体" w:cs="宋体"/>
                <w:i w:val="0"/>
                <w:color w:val="000000"/>
                <w:kern w:val="0"/>
                <w:sz w:val="20"/>
                <w:szCs w:val="20"/>
                <w:u w:val="none"/>
                <w:lang w:val="en-US" w:eastAsia="zh-CN" w:bidi="ar"/>
              </w:rPr>
              <w:t>台式计算机</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20"/>
              </w:rPr>
            </w:pPr>
            <w:r>
              <w:rPr>
                <w:rFonts w:hint="eastAsia" w:ascii="宋体" w:hAnsi="宋体" w:eastAsia="宋体" w:cs="宋体"/>
                <w:i w:val="0"/>
                <w:color w:val="000000"/>
                <w:kern w:val="0"/>
                <w:sz w:val="20"/>
                <w:szCs w:val="20"/>
                <w:u w:val="none"/>
                <w:lang w:val="en-US" w:eastAsia="zh-CN" w:bidi="ar"/>
              </w:rPr>
              <w:t>0.65</w:t>
            </w:r>
          </w:p>
        </w:tc>
        <w:tc>
          <w:tcPr>
            <w:tcW w:w="166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ascii="TimesNewRoman" w:hAnsi="TimesNewRoman" w:cs="TimesNewRoman"/>
                <w:kern w:val="0"/>
                <w:sz w:val="20"/>
              </w:rPr>
            </w:pPr>
            <w:r>
              <w:rPr>
                <w:rFonts w:hint="eastAsia" w:ascii="宋体" w:hAnsi="宋体" w:eastAsia="宋体" w:cs="宋体"/>
                <w:i w:val="0"/>
                <w:color w:val="000000"/>
                <w:kern w:val="0"/>
                <w:sz w:val="20"/>
                <w:szCs w:val="20"/>
                <w:u w:val="none"/>
                <w:lang w:val="en-US" w:eastAsia="zh-CN" w:bidi="ar"/>
              </w:rPr>
              <w:t>0.65</w:t>
            </w:r>
          </w:p>
        </w:tc>
        <w:tc>
          <w:tcPr>
            <w:tcW w:w="1590" w:type="dxa"/>
            <w:tcBorders>
              <w:top w:val="single" w:color="auto" w:sz="4" w:space="0"/>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single" w:color="auto" w:sz="4" w:space="0"/>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single" w:color="auto" w:sz="4" w:space="0"/>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298" w:type="dxa"/>
            <w:tcBorders>
              <w:top w:val="single" w:color="auto" w:sz="4" w:space="0"/>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r>
      <w:tr>
        <w:tblPrEx>
          <w:tblLayout w:type="fixed"/>
          <w:tblCellMar>
            <w:top w:w="0" w:type="dxa"/>
            <w:left w:w="108" w:type="dxa"/>
            <w:bottom w:w="0" w:type="dxa"/>
            <w:right w:w="108" w:type="dxa"/>
          </w:tblCellMar>
        </w:tblPrEx>
        <w:trPr>
          <w:trHeight w:val="496" w:hRule="atLeast"/>
        </w:trPr>
        <w:tc>
          <w:tcPr>
            <w:tcW w:w="3122"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20"/>
              </w:rPr>
            </w:pPr>
          </w:p>
        </w:tc>
        <w:tc>
          <w:tcPr>
            <w:tcW w:w="1725"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20"/>
              </w:rPr>
            </w:pPr>
          </w:p>
        </w:tc>
        <w:tc>
          <w:tcPr>
            <w:tcW w:w="156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p>
        </w:tc>
        <w:tc>
          <w:tcPr>
            <w:tcW w:w="166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p>
        </w:tc>
        <w:tc>
          <w:tcPr>
            <w:tcW w:w="159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p>
        </w:tc>
        <w:tc>
          <w:tcPr>
            <w:tcW w:w="129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p>
        </w:tc>
      </w:tr>
      <w:tr>
        <w:tblPrEx>
          <w:tblLayout w:type="fixed"/>
          <w:tblCellMar>
            <w:top w:w="0" w:type="dxa"/>
            <w:left w:w="108" w:type="dxa"/>
            <w:bottom w:w="0" w:type="dxa"/>
            <w:right w:w="108" w:type="dxa"/>
          </w:tblCellMar>
        </w:tblPrEx>
        <w:trPr>
          <w:trHeight w:val="496" w:hRule="atLeast"/>
        </w:trPr>
        <w:tc>
          <w:tcPr>
            <w:tcW w:w="3122"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20"/>
              </w:rPr>
            </w:pPr>
            <w:r>
              <w:rPr>
                <w:rFonts w:ascii="TimesNewRoman" w:hAnsi="TimesNewRoman" w:cs="TimesNewRoman"/>
                <w:kern w:val="0"/>
                <w:sz w:val="20"/>
              </w:rPr>
              <w:t>　</w:t>
            </w:r>
          </w:p>
        </w:tc>
        <w:tc>
          <w:tcPr>
            <w:tcW w:w="1725"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20"/>
              </w:rPr>
            </w:pPr>
            <w:r>
              <w:rPr>
                <w:rFonts w:ascii="TimesNewRoman" w:hAnsi="TimesNewRoman" w:cs="TimesNewRoman"/>
                <w:kern w:val="0"/>
                <w:sz w:val="20"/>
              </w:rPr>
              <w:t>　</w:t>
            </w:r>
          </w:p>
        </w:tc>
        <w:tc>
          <w:tcPr>
            <w:tcW w:w="156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66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59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29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r>
      <w:tr>
        <w:tblPrEx>
          <w:tblLayout w:type="fixed"/>
          <w:tblCellMar>
            <w:top w:w="0" w:type="dxa"/>
            <w:left w:w="108" w:type="dxa"/>
            <w:bottom w:w="0" w:type="dxa"/>
            <w:right w:w="108" w:type="dxa"/>
          </w:tblCellMar>
        </w:tblPrEx>
        <w:trPr>
          <w:trHeight w:val="496" w:hRule="atLeast"/>
        </w:trPr>
        <w:tc>
          <w:tcPr>
            <w:tcW w:w="3122"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20"/>
              </w:rPr>
            </w:pPr>
            <w:r>
              <w:rPr>
                <w:rFonts w:ascii="TimesNewRoman" w:hAnsi="TimesNewRoman" w:cs="TimesNewRoman"/>
                <w:kern w:val="0"/>
                <w:sz w:val="20"/>
              </w:rPr>
              <w:t>　</w:t>
            </w:r>
          </w:p>
        </w:tc>
        <w:tc>
          <w:tcPr>
            <w:tcW w:w="1725"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20"/>
              </w:rPr>
            </w:pPr>
            <w:r>
              <w:rPr>
                <w:rFonts w:ascii="TimesNewRoman" w:hAnsi="TimesNewRoman" w:cs="TimesNewRoman"/>
                <w:kern w:val="0"/>
                <w:sz w:val="20"/>
              </w:rPr>
              <w:t>　</w:t>
            </w:r>
          </w:p>
        </w:tc>
        <w:tc>
          <w:tcPr>
            <w:tcW w:w="156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66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59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29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r>
      <w:tr>
        <w:tblPrEx>
          <w:tblLayout w:type="fixed"/>
          <w:tblCellMar>
            <w:top w:w="0" w:type="dxa"/>
            <w:left w:w="108" w:type="dxa"/>
            <w:bottom w:w="0" w:type="dxa"/>
            <w:right w:w="108" w:type="dxa"/>
          </w:tblCellMar>
        </w:tblPrEx>
        <w:trPr>
          <w:trHeight w:val="496" w:hRule="atLeast"/>
        </w:trPr>
        <w:tc>
          <w:tcPr>
            <w:tcW w:w="3122" w:type="dxa"/>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20"/>
              </w:rPr>
            </w:pPr>
            <w:r>
              <w:rPr>
                <w:rFonts w:ascii="TimesNewRoman" w:hAnsi="TimesNewRoman" w:cs="TimesNewRoman"/>
                <w:kern w:val="0"/>
                <w:sz w:val="20"/>
              </w:rPr>
              <w:t>　</w:t>
            </w:r>
          </w:p>
        </w:tc>
        <w:tc>
          <w:tcPr>
            <w:tcW w:w="1725" w:type="dxa"/>
            <w:tcBorders>
              <w:top w:val="nil"/>
              <w:left w:val="nil"/>
              <w:bottom w:val="single" w:color="auto" w:sz="4" w:space="0"/>
              <w:right w:val="single" w:color="auto" w:sz="4" w:space="0"/>
            </w:tcBorders>
            <w:noWrap w:val="0"/>
            <w:vAlign w:val="center"/>
          </w:tcPr>
          <w:p>
            <w:pPr>
              <w:widowControl/>
              <w:spacing w:line="280" w:lineRule="exact"/>
              <w:jc w:val="left"/>
              <w:rPr>
                <w:rFonts w:ascii="TimesNewRoman" w:hAnsi="TimesNewRoman" w:cs="TimesNewRoman"/>
                <w:kern w:val="0"/>
                <w:sz w:val="20"/>
              </w:rPr>
            </w:pPr>
            <w:r>
              <w:rPr>
                <w:rFonts w:ascii="TimesNewRoman" w:hAnsi="TimesNewRoman" w:cs="TimesNewRoman"/>
                <w:kern w:val="0"/>
                <w:sz w:val="20"/>
              </w:rPr>
              <w:t>　</w:t>
            </w:r>
          </w:p>
        </w:tc>
        <w:tc>
          <w:tcPr>
            <w:tcW w:w="156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665"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59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29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r>
      <w:tr>
        <w:tblPrEx>
          <w:tblLayout w:type="fixed"/>
          <w:tblCellMar>
            <w:top w:w="0" w:type="dxa"/>
            <w:left w:w="108" w:type="dxa"/>
            <w:bottom w:w="0" w:type="dxa"/>
            <w:right w:w="108" w:type="dxa"/>
          </w:tblCellMar>
        </w:tblPrEx>
        <w:trPr>
          <w:trHeight w:val="506" w:hRule="atLeast"/>
        </w:trPr>
        <w:tc>
          <w:tcPr>
            <w:tcW w:w="4847" w:type="dxa"/>
            <w:gridSpan w:val="2"/>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NewRoman" w:hAnsi="TimesNewRoman" w:cs="TimesNewRoman"/>
                <w:kern w:val="0"/>
                <w:sz w:val="20"/>
              </w:rPr>
            </w:pPr>
            <w:r>
              <w:rPr>
                <w:rFonts w:hint="eastAsia" w:ascii="TimesNewRoman" w:hAnsi="TimesNewRoman" w:cs="TimesNewRoman"/>
                <w:b/>
                <w:sz w:val="20"/>
              </w:rPr>
              <w:t>总</w:t>
            </w:r>
            <w:r>
              <w:rPr>
                <w:rFonts w:ascii="TimesNewRoman" w:hAnsi="TimesNewRoman" w:cs="TimesNewRoman"/>
                <w:b/>
                <w:sz w:val="20"/>
              </w:rPr>
              <w:t xml:space="preserve"> 计</w:t>
            </w:r>
          </w:p>
        </w:tc>
        <w:tc>
          <w:tcPr>
            <w:tcW w:w="1560"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0.65　</w:t>
            </w:r>
          </w:p>
        </w:tc>
        <w:tc>
          <w:tcPr>
            <w:tcW w:w="1665" w:type="dxa"/>
            <w:tcBorders>
              <w:top w:val="nil"/>
              <w:left w:val="nil"/>
              <w:bottom w:val="single" w:color="auto" w:sz="4" w:space="0"/>
              <w:right w:val="single" w:color="auto" w:sz="4" w:space="0"/>
            </w:tcBorders>
            <w:noWrap w:val="0"/>
            <w:vAlign w:val="center"/>
          </w:tcPr>
          <w:p>
            <w:pPr>
              <w:keepNext w:val="0"/>
              <w:keepLines w:val="0"/>
              <w:widowControl/>
              <w:suppressLineNumbers w:val="0"/>
              <w:jc w:val="righ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0.65</w:t>
            </w:r>
            <w:r>
              <w:rPr>
                <w:rFonts w:hint="eastAsia" w:ascii="宋体" w:hAnsi="宋体" w:eastAsia="宋体" w:cs="宋体"/>
                <w:i w:val="0"/>
                <w:color w:val="000000"/>
                <w:kern w:val="0"/>
                <w:sz w:val="20"/>
                <w:szCs w:val="20"/>
                <w:u w:val="none"/>
                <w:lang w:val="en-US" w:eastAsia="zh-CN" w:bidi="ar"/>
              </w:rPr>
              <w:t>　</w:t>
            </w:r>
          </w:p>
        </w:tc>
        <w:tc>
          <w:tcPr>
            <w:tcW w:w="159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410"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c>
          <w:tcPr>
            <w:tcW w:w="1298" w:type="dxa"/>
            <w:tcBorders>
              <w:top w:val="nil"/>
              <w:left w:val="nil"/>
              <w:bottom w:val="single" w:color="auto" w:sz="4" w:space="0"/>
              <w:right w:val="single" w:color="auto" w:sz="4" w:space="0"/>
            </w:tcBorders>
            <w:noWrap w:val="0"/>
            <w:vAlign w:val="center"/>
          </w:tcPr>
          <w:p>
            <w:pPr>
              <w:widowControl/>
              <w:spacing w:line="280" w:lineRule="exact"/>
              <w:jc w:val="right"/>
              <w:rPr>
                <w:rFonts w:ascii="TimesNewRoman" w:hAnsi="TimesNewRoman" w:cs="TimesNewRoman"/>
                <w:kern w:val="0"/>
                <w:sz w:val="20"/>
              </w:rPr>
            </w:pPr>
            <w:r>
              <w:rPr>
                <w:rFonts w:ascii="TimesNewRoman" w:hAnsi="TimesNewRoman" w:cs="TimesNewRoman"/>
                <w:kern w:val="0"/>
                <w:sz w:val="20"/>
              </w:rPr>
              <w:t>　</w:t>
            </w:r>
          </w:p>
        </w:tc>
      </w:tr>
    </w:tbl>
    <w:p>
      <w:pPr>
        <w:spacing w:line="560" w:lineRule="exact"/>
        <w:rPr>
          <w:rFonts w:ascii="TimesNewRoman" w:hAnsi="TimesNewRoman" w:cs="TimesNewRoman"/>
        </w:rPr>
      </w:pPr>
    </w:p>
    <w:p>
      <w:pPr>
        <w:spacing w:line="560" w:lineRule="exact"/>
        <w:rPr>
          <w:rFonts w:ascii="TimesNewRoman" w:hAnsi="TimesNewRoman" w:cs="TimesNewRoman"/>
        </w:rPr>
      </w:pPr>
    </w:p>
    <w:p>
      <w:pPr>
        <w:spacing w:line="560" w:lineRule="exact"/>
        <w:rPr>
          <w:rFonts w:ascii="TimesNewRoman" w:hAnsi="TimesNewRoman" w:cs="TimesNewRoman"/>
        </w:rPr>
      </w:pPr>
    </w:p>
    <w:p>
      <w:pPr>
        <w:pStyle w:val="3"/>
        <w:wordWrap w:val="0"/>
        <w:adjustRightInd w:val="0"/>
        <w:snapToGrid w:val="0"/>
        <w:spacing w:line="560" w:lineRule="exact"/>
        <w:jc w:val="center"/>
        <w:rPr>
          <w:rFonts w:ascii="TimesNewRoman" w:hAnsi="TimesNewRoman" w:cs="TimesNewRoman"/>
          <w:sz w:val="20"/>
          <w:szCs w:val="20"/>
        </w:rPr>
      </w:pPr>
      <w:r>
        <w:rPr>
          <w:rFonts w:hint="eastAsia" w:ascii="TimesNewRoman" w:hAnsi="TimesNewRoman" w:cs="TimesNewRoman"/>
          <w:sz w:val="20"/>
          <w:szCs w:val="20"/>
        </w:rPr>
        <w:t xml:space="preserve">                                                                                                          </w:t>
      </w:r>
      <w:r>
        <w:rPr>
          <w:rFonts w:hint="eastAsia" w:ascii="TimesNewRoman" w:hAnsi="TimesNewRoman" w:cs="TimesNewRoman"/>
          <w:sz w:val="20"/>
          <w:szCs w:val="20"/>
          <w:lang w:eastAsia="zh-CN"/>
        </w:rPr>
        <w:t>部门</w:t>
      </w:r>
      <w:r>
        <w:rPr>
          <w:rFonts w:ascii="TimesNewRoman" w:hAnsi="TimesNewRoman" w:cs="TimesNewRoman"/>
          <w:sz w:val="20"/>
          <w:szCs w:val="20"/>
        </w:rPr>
        <w:t>公开表11</w:t>
      </w:r>
    </w:p>
    <w:tbl>
      <w:tblPr>
        <w:tblStyle w:val="4"/>
        <w:tblW w:w="13709" w:type="dxa"/>
        <w:jc w:val="center"/>
        <w:tblInd w:w="0" w:type="dxa"/>
        <w:tblLayout w:type="fixed"/>
        <w:tblCellMar>
          <w:top w:w="0" w:type="dxa"/>
          <w:left w:w="108" w:type="dxa"/>
          <w:bottom w:w="0" w:type="dxa"/>
          <w:right w:w="108" w:type="dxa"/>
        </w:tblCellMar>
      </w:tblPr>
      <w:tblGrid>
        <w:gridCol w:w="2068"/>
        <w:gridCol w:w="1948"/>
        <w:gridCol w:w="1780"/>
        <w:gridCol w:w="1928"/>
        <w:gridCol w:w="2477"/>
        <w:gridCol w:w="1680"/>
        <w:gridCol w:w="1811"/>
        <w:gridCol w:w="17"/>
      </w:tblGrid>
      <w:tr>
        <w:tblPrEx>
          <w:tblLayout w:type="fixed"/>
          <w:tblCellMar>
            <w:top w:w="0" w:type="dxa"/>
            <w:left w:w="108" w:type="dxa"/>
            <w:bottom w:w="0" w:type="dxa"/>
            <w:right w:w="108" w:type="dxa"/>
          </w:tblCellMar>
        </w:tblPrEx>
        <w:trPr>
          <w:gridAfter w:val="1"/>
          <w:wAfter w:w="17" w:type="dxa"/>
          <w:trHeight w:val="673" w:hRule="atLeast"/>
          <w:jc w:val="center"/>
        </w:trPr>
        <w:tc>
          <w:tcPr>
            <w:tcW w:w="13692" w:type="dxa"/>
            <w:gridSpan w:val="7"/>
            <w:tcBorders>
              <w:top w:val="nil"/>
              <w:left w:val="nil"/>
              <w:bottom w:val="nil"/>
              <w:right w:val="nil"/>
            </w:tcBorders>
            <w:noWrap w:val="0"/>
            <w:vAlign w:val="center"/>
          </w:tcPr>
          <w:p>
            <w:pPr>
              <w:spacing w:line="560" w:lineRule="exact"/>
              <w:jc w:val="center"/>
              <w:rPr>
                <w:rFonts w:ascii="宋体" w:hAnsi="宋体" w:cs="TimesNewRoman"/>
                <w:b/>
                <w:bCs/>
                <w:kern w:val="0"/>
                <w:sz w:val="28"/>
                <w:szCs w:val="32"/>
              </w:rPr>
            </w:pPr>
            <w:r>
              <w:rPr>
                <w:rFonts w:hint="eastAsia" w:ascii="宋体" w:hAnsi="宋体" w:cs="TimesNewRoman"/>
                <w:b/>
                <w:bCs/>
                <w:kern w:val="0"/>
                <w:sz w:val="28"/>
                <w:szCs w:val="32"/>
                <w:lang w:eastAsia="zh-CN"/>
              </w:rPr>
              <w:t>寿县科学技术协会</w:t>
            </w:r>
            <w:r>
              <w:rPr>
                <w:rFonts w:hint="eastAsia" w:ascii="宋体" w:hAnsi="宋体" w:cs="TimesNewRoman"/>
                <w:b/>
                <w:bCs/>
                <w:kern w:val="0"/>
                <w:sz w:val="28"/>
                <w:szCs w:val="32"/>
              </w:rPr>
              <w:t>2024</w:t>
            </w:r>
            <w:r>
              <w:rPr>
                <w:rFonts w:ascii="宋体" w:hAnsi="宋体" w:cs="TimesNewRoman"/>
                <w:b/>
                <w:bCs/>
                <w:kern w:val="0"/>
                <w:sz w:val="28"/>
                <w:szCs w:val="32"/>
              </w:rPr>
              <w:t>年政府购买服务支出表</w:t>
            </w:r>
          </w:p>
          <w:p>
            <w:pPr>
              <w:widowControl/>
              <w:spacing w:line="560" w:lineRule="exact"/>
              <w:jc w:val="center"/>
              <w:rPr>
                <w:rFonts w:ascii="TimesNewRoman" w:hAnsi="TimesNewRoman" w:cs="TimesNewRoman"/>
                <w:kern w:val="0"/>
                <w:sz w:val="20"/>
              </w:rPr>
            </w:pPr>
            <w:r>
              <w:rPr>
                <w:rFonts w:ascii="TimesNewRoman" w:hAnsi="TimesNewRoman" w:cs="TimesNewRoman"/>
                <w:kern w:val="0"/>
                <w:sz w:val="20"/>
              </w:rPr>
              <w:t xml:space="preserve">                                                                                                                    单位：万元</w:t>
            </w:r>
          </w:p>
        </w:tc>
      </w:tr>
      <w:tr>
        <w:tblPrEx>
          <w:tblLayout w:type="fixed"/>
          <w:tblCellMar>
            <w:top w:w="15" w:type="dxa"/>
            <w:left w:w="15" w:type="dxa"/>
            <w:bottom w:w="15" w:type="dxa"/>
            <w:right w:w="15" w:type="dxa"/>
          </w:tblCellMar>
        </w:tblPrEx>
        <w:trPr>
          <w:trHeight w:val="922" w:hRule="atLeast"/>
          <w:jc w:val="center"/>
        </w:trPr>
        <w:tc>
          <w:tcPr>
            <w:tcW w:w="20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TimesNewRoman" w:hAnsi="TimesNewRoman" w:cs="TimesNewRoman"/>
                <w:b/>
                <w:sz w:val="18"/>
                <w:szCs w:val="18"/>
              </w:rPr>
            </w:pPr>
            <w:r>
              <w:rPr>
                <w:rFonts w:ascii="TimesNewRoman" w:hAnsi="TimesNewRoman" w:cs="TimesNewRoman"/>
                <w:b/>
                <w:kern w:val="0"/>
                <w:sz w:val="18"/>
                <w:szCs w:val="18"/>
                <w:lang w:bidi="ar"/>
              </w:rPr>
              <w:t>项目名称</w:t>
            </w:r>
          </w:p>
        </w:tc>
        <w:tc>
          <w:tcPr>
            <w:tcW w:w="19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TimesNewRoman" w:hAnsi="TimesNewRoman" w:cs="TimesNewRoman"/>
                <w:b/>
                <w:sz w:val="18"/>
                <w:szCs w:val="18"/>
              </w:rPr>
            </w:pPr>
            <w:r>
              <w:rPr>
                <w:rFonts w:ascii="TimesNewRoman" w:hAnsi="TimesNewRoman" w:cs="TimesNewRoman"/>
                <w:b/>
                <w:kern w:val="0"/>
                <w:sz w:val="18"/>
                <w:szCs w:val="18"/>
                <w:lang w:bidi="ar"/>
              </w:rPr>
              <w:t>一级目录名称</w:t>
            </w:r>
          </w:p>
        </w:tc>
        <w:tc>
          <w:tcPr>
            <w:tcW w:w="17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TimesNewRoman" w:hAnsi="TimesNewRoman" w:cs="TimesNewRoman"/>
                <w:b/>
                <w:sz w:val="18"/>
                <w:szCs w:val="18"/>
              </w:rPr>
            </w:pPr>
            <w:r>
              <w:rPr>
                <w:rFonts w:ascii="TimesNewRoman" w:hAnsi="TimesNewRoman" w:cs="TimesNewRoman"/>
                <w:b/>
                <w:kern w:val="0"/>
                <w:sz w:val="18"/>
                <w:szCs w:val="18"/>
                <w:lang w:bidi="ar"/>
              </w:rPr>
              <w:t>二级目录名称</w:t>
            </w:r>
          </w:p>
        </w:tc>
        <w:tc>
          <w:tcPr>
            <w:tcW w:w="192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TimesNewRoman" w:hAnsi="TimesNewRoman" w:cs="TimesNewRoman"/>
                <w:b/>
                <w:sz w:val="18"/>
                <w:szCs w:val="18"/>
              </w:rPr>
            </w:pPr>
            <w:r>
              <w:rPr>
                <w:rFonts w:ascii="TimesNewRoman" w:hAnsi="TimesNewRoman" w:cs="TimesNewRoman"/>
                <w:b/>
                <w:kern w:val="0"/>
                <w:sz w:val="18"/>
                <w:szCs w:val="18"/>
                <w:lang w:bidi="ar"/>
              </w:rPr>
              <w:t>三级目录名称</w:t>
            </w: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TimesNewRoman" w:hAnsi="TimesNewRoman" w:cs="TimesNewRoman"/>
                <w:b/>
                <w:sz w:val="18"/>
                <w:szCs w:val="18"/>
              </w:rPr>
            </w:pPr>
            <w:r>
              <w:rPr>
                <w:rFonts w:ascii="TimesNewRoman" w:hAnsi="TimesNewRoman" w:cs="TimesNewRoman"/>
                <w:b/>
                <w:kern w:val="0"/>
                <w:sz w:val="18"/>
                <w:szCs w:val="18"/>
                <w:lang w:bidi="ar"/>
              </w:rPr>
              <w:t>政府购买服务内容</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TimesNewRoman" w:hAnsi="TimesNewRoman" w:cs="TimesNewRoman"/>
                <w:b/>
                <w:sz w:val="18"/>
                <w:szCs w:val="18"/>
              </w:rPr>
            </w:pPr>
            <w:r>
              <w:rPr>
                <w:rFonts w:ascii="TimesNewRoman" w:hAnsi="TimesNewRoman" w:cs="TimesNewRoman"/>
                <w:b/>
                <w:kern w:val="0"/>
                <w:sz w:val="18"/>
                <w:szCs w:val="18"/>
                <w:lang w:bidi="ar"/>
              </w:rPr>
              <w:t>购买数量</w:t>
            </w: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ascii="TimesNewRoman" w:hAnsi="TimesNewRoman" w:cs="TimesNewRoman"/>
                <w:b/>
                <w:sz w:val="18"/>
                <w:szCs w:val="18"/>
              </w:rPr>
            </w:pPr>
            <w:r>
              <w:rPr>
                <w:rFonts w:ascii="TimesNewRoman" w:hAnsi="TimesNewRoman" w:cs="TimesNewRoman"/>
                <w:b/>
                <w:kern w:val="0"/>
                <w:sz w:val="18"/>
                <w:szCs w:val="18"/>
                <w:lang w:bidi="ar"/>
              </w:rPr>
              <w:t>购买金额</w:t>
            </w:r>
          </w:p>
        </w:tc>
      </w:tr>
      <w:tr>
        <w:tblPrEx>
          <w:tblLayout w:type="fixed"/>
          <w:tblCellMar>
            <w:top w:w="15" w:type="dxa"/>
            <w:left w:w="15" w:type="dxa"/>
            <w:bottom w:w="15" w:type="dxa"/>
            <w:right w:w="15" w:type="dxa"/>
          </w:tblCellMar>
        </w:tblPrEx>
        <w:trPr>
          <w:trHeight w:val="711" w:hRule="atLeast"/>
          <w:jc w:val="center"/>
        </w:trPr>
        <w:tc>
          <w:tcPr>
            <w:tcW w:w="2068"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center"/>
              <w:rPr>
                <w:rFonts w:ascii="TimesNewRoman" w:hAnsi="TimesNewRoman" w:cs="TimesNewRoman"/>
                <w:b/>
                <w:sz w:val="18"/>
                <w:szCs w:val="18"/>
              </w:rPr>
            </w:pPr>
          </w:p>
        </w:tc>
        <w:tc>
          <w:tcPr>
            <w:tcW w:w="1948"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left"/>
              <w:rPr>
                <w:rFonts w:ascii="TimesNewRoman" w:hAnsi="TimesNewRoman" w:cs="TimesNewRoman"/>
                <w:sz w:val="18"/>
                <w:szCs w:val="18"/>
              </w:rPr>
            </w:pPr>
          </w:p>
        </w:tc>
        <w:tc>
          <w:tcPr>
            <w:tcW w:w="178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left"/>
              <w:rPr>
                <w:rFonts w:ascii="TimesNewRoman" w:hAnsi="TimesNewRoman" w:cs="TimesNewRoman"/>
                <w:sz w:val="18"/>
                <w:szCs w:val="18"/>
              </w:rPr>
            </w:pPr>
          </w:p>
        </w:tc>
        <w:tc>
          <w:tcPr>
            <w:tcW w:w="1928"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left"/>
              <w:rPr>
                <w:rFonts w:ascii="TimesNewRoman" w:hAnsi="TimesNewRoman" w:cs="TimesNewRoman"/>
                <w:sz w:val="18"/>
                <w:szCs w:val="18"/>
              </w:rPr>
            </w:pPr>
          </w:p>
        </w:tc>
        <w:tc>
          <w:tcPr>
            <w:tcW w:w="2477"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left"/>
              <w:rPr>
                <w:rFonts w:ascii="TimesNewRoman" w:hAnsi="TimesNewRoman" w:cs="TimesNewRoman"/>
                <w:sz w:val="18"/>
                <w:szCs w:val="18"/>
              </w:rPr>
            </w:pP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right"/>
              <w:rPr>
                <w:rFonts w:ascii="TimesNewRoman" w:hAnsi="TimesNewRoman" w:cs="TimesNewRoman"/>
                <w:sz w:val="18"/>
                <w:szCs w:val="18"/>
              </w:rPr>
            </w:pPr>
          </w:p>
        </w:tc>
        <w:tc>
          <w:tcPr>
            <w:tcW w:w="1828"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right"/>
              <w:rPr>
                <w:rFonts w:ascii="TimesNewRoman" w:hAnsi="TimesNewRoman" w:cs="TimesNewRoman"/>
                <w:sz w:val="18"/>
                <w:szCs w:val="18"/>
              </w:rPr>
            </w:pPr>
          </w:p>
        </w:tc>
      </w:tr>
      <w:tr>
        <w:tblPrEx>
          <w:tblLayout w:type="fixed"/>
          <w:tblCellMar>
            <w:top w:w="15" w:type="dxa"/>
            <w:left w:w="15" w:type="dxa"/>
            <w:bottom w:w="15" w:type="dxa"/>
            <w:right w:w="15" w:type="dxa"/>
          </w:tblCellMar>
        </w:tblPrEx>
        <w:trPr>
          <w:trHeight w:val="711" w:hRule="atLeast"/>
          <w:jc w:val="center"/>
        </w:trPr>
        <w:tc>
          <w:tcPr>
            <w:tcW w:w="2068"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center"/>
              <w:rPr>
                <w:rFonts w:ascii="TimesNewRoman" w:hAnsi="TimesNewRoman" w:cs="TimesNewRoman"/>
                <w:b/>
                <w:sz w:val="18"/>
                <w:szCs w:val="18"/>
              </w:rPr>
            </w:pPr>
          </w:p>
        </w:tc>
        <w:tc>
          <w:tcPr>
            <w:tcW w:w="1948"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780"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928"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2477"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680"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828" w:type="dxa"/>
            <w:gridSpan w:val="2"/>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r>
      <w:tr>
        <w:tblPrEx>
          <w:tblLayout w:type="fixed"/>
          <w:tblCellMar>
            <w:top w:w="15" w:type="dxa"/>
            <w:left w:w="15" w:type="dxa"/>
            <w:bottom w:w="15" w:type="dxa"/>
            <w:right w:w="15" w:type="dxa"/>
          </w:tblCellMar>
        </w:tblPrEx>
        <w:trPr>
          <w:trHeight w:val="711" w:hRule="atLeast"/>
          <w:jc w:val="center"/>
        </w:trPr>
        <w:tc>
          <w:tcPr>
            <w:tcW w:w="2068"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center"/>
              <w:rPr>
                <w:rFonts w:ascii="TimesNewRoman" w:hAnsi="TimesNewRoman" w:cs="TimesNewRoman"/>
                <w:b/>
                <w:sz w:val="18"/>
                <w:szCs w:val="18"/>
              </w:rPr>
            </w:pPr>
          </w:p>
        </w:tc>
        <w:tc>
          <w:tcPr>
            <w:tcW w:w="1948"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780"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928"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2477"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680"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828" w:type="dxa"/>
            <w:gridSpan w:val="2"/>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r>
      <w:tr>
        <w:tblPrEx>
          <w:tblLayout w:type="fixed"/>
          <w:tblCellMar>
            <w:top w:w="15" w:type="dxa"/>
            <w:left w:w="15" w:type="dxa"/>
            <w:bottom w:w="15" w:type="dxa"/>
            <w:right w:w="15" w:type="dxa"/>
          </w:tblCellMar>
        </w:tblPrEx>
        <w:trPr>
          <w:trHeight w:val="711" w:hRule="atLeast"/>
          <w:jc w:val="center"/>
        </w:trPr>
        <w:tc>
          <w:tcPr>
            <w:tcW w:w="2068"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center"/>
              <w:rPr>
                <w:rFonts w:ascii="TimesNewRoman" w:hAnsi="TimesNewRoman" w:cs="TimesNewRoman"/>
                <w:b/>
                <w:sz w:val="18"/>
                <w:szCs w:val="18"/>
              </w:rPr>
            </w:pPr>
            <w:r>
              <w:rPr>
                <w:rFonts w:ascii="TimesNewRoman" w:hAnsi="TimesNewRoman" w:cs="TimesNewRoman"/>
                <w:b/>
                <w:sz w:val="18"/>
                <w:szCs w:val="18"/>
              </w:rPr>
              <w:t>合</w:t>
            </w:r>
            <w:r>
              <w:rPr>
                <w:rFonts w:hint="eastAsia" w:ascii="TimesNewRoman" w:hAnsi="TimesNewRoman" w:cs="TimesNewRoman"/>
                <w:b/>
                <w:sz w:val="18"/>
                <w:szCs w:val="18"/>
              </w:rPr>
              <w:t xml:space="preserve"> </w:t>
            </w:r>
            <w:r>
              <w:rPr>
                <w:rFonts w:ascii="TimesNewRoman" w:hAnsi="TimesNewRoman" w:cs="TimesNewRoman"/>
                <w:b/>
                <w:sz w:val="18"/>
                <w:szCs w:val="18"/>
              </w:rPr>
              <w:t>计</w:t>
            </w:r>
          </w:p>
        </w:tc>
        <w:tc>
          <w:tcPr>
            <w:tcW w:w="1948"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780"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928"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2477"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680" w:type="dxa"/>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c>
          <w:tcPr>
            <w:tcW w:w="1828" w:type="dxa"/>
            <w:gridSpan w:val="2"/>
            <w:tcBorders>
              <w:top w:val="single" w:color="000000" w:sz="4" w:space="0"/>
              <w:left w:val="single" w:color="000000" w:sz="4" w:space="0"/>
              <w:bottom w:val="single" w:color="000000" w:sz="4" w:space="0"/>
              <w:right w:val="single" w:color="000000" w:sz="4" w:space="0"/>
            </w:tcBorders>
            <w:noWrap w:val="0"/>
            <w:vAlign w:val="bottom"/>
          </w:tcPr>
          <w:p>
            <w:pPr>
              <w:spacing w:line="280" w:lineRule="exact"/>
              <w:rPr>
                <w:rFonts w:ascii="TimesNewRoman" w:hAnsi="TimesNewRoman" w:cs="TimesNewRoman"/>
                <w:sz w:val="18"/>
                <w:szCs w:val="18"/>
              </w:rPr>
            </w:pPr>
          </w:p>
        </w:tc>
      </w:tr>
    </w:tbl>
    <w:p>
      <w:pPr>
        <w:spacing w:line="560" w:lineRule="exact"/>
        <w:rPr>
          <w:rFonts w:ascii="TimesNewRoman" w:hAnsi="TimesNewRoman" w:cs="TimesNewRoman"/>
          <w:kern w:val="0"/>
          <w:sz w:val="22"/>
        </w:rPr>
      </w:pPr>
      <w:r>
        <w:rPr>
          <w:rFonts w:ascii="TimesNewRoman" w:hAnsi="TimesNewRoman" w:cs="TimesNewRoman"/>
          <w:kern w:val="0"/>
          <w:sz w:val="22"/>
        </w:rPr>
        <w:t>注：</w:t>
      </w:r>
      <w:r>
        <w:rPr>
          <w:rFonts w:hint="eastAsia" w:ascii="TimesNewRoman" w:hAnsi="TimesNewRoman" w:cs="TimesNewRoman"/>
          <w:kern w:val="0"/>
          <w:sz w:val="22"/>
          <w:lang w:eastAsia="zh-CN"/>
        </w:rPr>
        <w:t>寿县科学技术协会</w:t>
      </w:r>
      <w:r>
        <w:rPr>
          <w:rFonts w:ascii="TimesNewRoman" w:hAnsi="TimesNewRoman" w:cs="TimesNewRoman"/>
          <w:kern w:val="0"/>
          <w:sz w:val="22"/>
        </w:rPr>
        <w:t>没有安排政府购买服务支出，故本表无数据。</w:t>
      </w:r>
    </w:p>
    <w:p>
      <w:pPr>
        <w:pStyle w:val="3"/>
        <w:adjustRightInd w:val="0"/>
        <w:snapToGrid w:val="0"/>
        <w:spacing w:before="100" w:after="100" w:line="560" w:lineRule="exact"/>
        <w:ind w:firstLine="640" w:firstLineChars="200"/>
        <w:rPr>
          <w:rFonts w:ascii="TimesNewRoman" w:hAnsi="TimesNewRoman" w:eastAsia="楷体_GB2312" w:cs="TimesNewRoman"/>
          <w:bCs/>
          <w:sz w:val="32"/>
          <w:szCs w:val="32"/>
        </w:rPr>
        <w:sectPr>
          <w:pgSz w:w="16840" w:h="11907" w:orient="landscape"/>
          <w:pgMar w:top="1588" w:right="1531" w:bottom="1474" w:left="1560" w:header="851" w:footer="1021" w:gutter="0"/>
          <w:cols w:space="425" w:num="1"/>
          <w:docGrid w:type="linesAndChars" w:linePitch="312" w:charSpace="0"/>
        </w:sectPr>
      </w:pPr>
    </w:p>
    <w:p>
      <w:pPr>
        <w:pStyle w:val="3"/>
        <w:topLinePunct/>
        <w:adjustRightInd w:val="0"/>
        <w:snapToGrid w:val="0"/>
        <w:spacing w:beforeAutospacing="0" w:afterAutospacing="0" w:line="560" w:lineRule="exact"/>
        <w:jc w:val="center"/>
        <w:rPr>
          <w:rFonts w:ascii="TimesNewRoman" w:hAnsi="TimesNewRoman" w:eastAsia="黑体" w:cs="TimesNewRoman"/>
          <w:bCs/>
          <w:sz w:val="36"/>
          <w:szCs w:val="36"/>
        </w:rPr>
      </w:pPr>
      <w:r>
        <w:rPr>
          <w:rFonts w:ascii="TimesNewRoman" w:hAnsi="TimesNewRoman" w:eastAsia="黑体" w:cs="TimesNewRoman"/>
          <w:bCs/>
          <w:sz w:val="36"/>
          <w:szCs w:val="36"/>
        </w:rPr>
        <w:t xml:space="preserve">第三部分 </w:t>
      </w:r>
      <w:r>
        <w:rPr>
          <w:rFonts w:hint="eastAsia" w:ascii="TimesNewRoman" w:hAnsi="TimesNewRoman" w:eastAsia="黑体" w:cs="TimesNewRoman"/>
          <w:bCs/>
          <w:sz w:val="36"/>
          <w:szCs w:val="36"/>
        </w:rPr>
        <w:t>2024</w:t>
      </w:r>
      <w:r>
        <w:rPr>
          <w:rFonts w:ascii="TimesNewRoman" w:hAnsi="TimesNewRoman" w:eastAsia="黑体" w:cs="TimesNewRoman"/>
          <w:bCs/>
          <w:sz w:val="36"/>
          <w:szCs w:val="36"/>
        </w:rPr>
        <w:t>年</w:t>
      </w:r>
      <w:r>
        <w:rPr>
          <w:rFonts w:hint="eastAsia" w:ascii="TimesNewRoman" w:hAnsi="TimesNewRoman" w:eastAsia="黑体" w:cs="TimesNewRoman"/>
          <w:bCs/>
          <w:sz w:val="36"/>
          <w:szCs w:val="36"/>
          <w:lang w:eastAsia="zh-CN"/>
        </w:rPr>
        <w:t>部门</w:t>
      </w:r>
      <w:r>
        <w:rPr>
          <w:rFonts w:ascii="TimesNewRoman" w:hAnsi="TimesNewRoman" w:eastAsia="黑体" w:cs="TimesNewRoman"/>
          <w:bCs/>
          <w:sz w:val="36"/>
          <w:szCs w:val="36"/>
        </w:rPr>
        <w:t>预算情况说明</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一、关于2024年收支总表的说明</w:t>
      </w:r>
    </w:p>
    <w:p>
      <w:pPr>
        <w:pStyle w:val="3"/>
        <w:topLinePunct/>
        <w:adjustRightInd w:val="0"/>
        <w:snapToGrid w:val="0"/>
        <w:spacing w:beforeAutospacing="0" w:afterAutospacing="0" w:line="580" w:lineRule="exact"/>
        <w:ind w:firstLine="627" w:firstLineChars="196"/>
        <w:jc w:val="both"/>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按照综合预算的原则，</w:t>
      </w: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所有收入和支出均纳入</w:t>
      </w:r>
      <w:r>
        <w:rPr>
          <w:rFonts w:hint="eastAsia" w:ascii="仿宋_GB2312" w:hAnsi="TimesNewRoman" w:eastAsia="仿宋_GB2312" w:cs="TimesNewRoman"/>
          <w:sz w:val="32"/>
          <w:szCs w:val="32"/>
          <w:lang w:eastAsia="zh-CN"/>
        </w:rPr>
        <w:t>部门</w:t>
      </w:r>
      <w:r>
        <w:rPr>
          <w:rFonts w:hint="eastAsia" w:ascii="仿宋_GB2312" w:hAnsi="TimesNewRoman" w:eastAsia="仿宋_GB2312" w:cs="TimesNewRoman"/>
          <w:sz w:val="32"/>
          <w:szCs w:val="32"/>
        </w:rPr>
        <w:t>预算管理。</w:t>
      </w: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2024年收支总预算</w:t>
      </w:r>
      <w:r>
        <w:rPr>
          <w:rFonts w:hint="eastAsia" w:ascii="仿宋_GB2312" w:hAnsi="TimesNewRoman" w:eastAsia="仿宋_GB2312" w:cs="TimesNewRoman"/>
          <w:sz w:val="32"/>
          <w:szCs w:val="32"/>
          <w:lang w:val="en-US" w:eastAsia="zh-CN"/>
        </w:rPr>
        <w:t>124.74</w:t>
      </w:r>
      <w:r>
        <w:rPr>
          <w:rFonts w:hint="eastAsia" w:ascii="仿宋_GB2312" w:hAnsi="TimesNewRoman" w:eastAsia="仿宋_GB2312" w:cs="TimesNewRoman"/>
          <w:sz w:val="32"/>
          <w:szCs w:val="32"/>
        </w:rPr>
        <w:t>万元，收入全部是一般公共预算拨款收入，支出包括：</w:t>
      </w:r>
      <w:r>
        <w:rPr>
          <w:rFonts w:hint="eastAsia" w:ascii="仿宋_GB2312" w:hAnsi="TimesNewRoman" w:eastAsia="仿宋_GB2312" w:cs="TimesNewRoman"/>
          <w:sz w:val="32"/>
          <w:szCs w:val="32"/>
          <w:lang w:val="en-US" w:eastAsia="zh-CN"/>
        </w:rPr>
        <w:t>科学技术支出</w:t>
      </w:r>
      <w:r>
        <w:rPr>
          <w:rFonts w:hint="eastAsia" w:ascii="仿宋_GB2312" w:hAnsi="TimesNewRoman" w:eastAsia="仿宋_GB2312" w:cs="TimesNewRoman"/>
          <w:sz w:val="32"/>
          <w:szCs w:val="32"/>
        </w:rPr>
        <w:t>、社会保障和就业支出、卫生健康支出、住房保障支出。</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二、关于2024年收入总表的说明</w:t>
      </w:r>
    </w:p>
    <w:p>
      <w:pPr>
        <w:topLinePunct/>
        <w:adjustRightInd w:val="0"/>
        <w:snapToGrid w:val="0"/>
        <w:spacing w:line="58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kern w:val="0"/>
          <w:sz w:val="32"/>
          <w:szCs w:val="32"/>
          <w:lang w:eastAsia="zh-CN"/>
        </w:rPr>
        <w:t>寿县科学技术协会</w:t>
      </w:r>
      <w:r>
        <w:rPr>
          <w:rFonts w:hint="eastAsia" w:ascii="仿宋_GB2312" w:hAnsi="TimesNewRoman" w:eastAsia="仿宋_GB2312" w:cs="TimesNewRoman"/>
          <w:sz w:val="32"/>
          <w:szCs w:val="32"/>
        </w:rPr>
        <w:t>2024年收入预算</w:t>
      </w:r>
      <w:r>
        <w:rPr>
          <w:rFonts w:hint="eastAsia" w:ascii="仿宋_GB2312" w:hAnsi="TimesNewRoman" w:eastAsia="仿宋_GB2312" w:cs="TimesNewRoman"/>
          <w:sz w:val="32"/>
          <w:szCs w:val="32"/>
          <w:lang w:val="en-US" w:eastAsia="zh-CN"/>
        </w:rPr>
        <w:t>124.74</w:t>
      </w:r>
      <w:r>
        <w:rPr>
          <w:rFonts w:hint="eastAsia" w:ascii="仿宋_GB2312" w:hAnsi="TimesNewRoman" w:eastAsia="仿宋_GB2312" w:cs="TimesNewRoman"/>
          <w:sz w:val="32"/>
          <w:szCs w:val="32"/>
        </w:rPr>
        <w:t>万元，其中，本年收入</w:t>
      </w:r>
      <w:r>
        <w:rPr>
          <w:rFonts w:hint="eastAsia" w:ascii="仿宋_GB2312" w:hAnsi="TimesNewRoman" w:eastAsia="仿宋_GB2312" w:cs="TimesNewRoman"/>
          <w:sz w:val="32"/>
          <w:szCs w:val="32"/>
          <w:lang w:val="en-US" w:eastAsia="zh-CN"/>
        </w:rPr>
        <w:t>124.74</w:t>
      </w:r>
      <w:r>
        <w:rPr>
          <w:rFonts w:hint="eastAsia" w:ascii="仿宋_GB2312" w:hAnsi="TimesNewRoman" w:eastAsia="仿宋_GB2312" w:cs="TimesNewRoman"/>
          <w:sz w:val="32"/>
          <w:szCs w:val="32"/>
        </w:rPr>
        <w:t>万元，上年结转收入</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w:t>
      </w:r>
    </w:p>
    <w:p>
      <w:pPr>
        <w:topLinePunct/>
        <w:adjustRightInd w:val="0"/>
        <w:snapToGrid w:val="0"/>
        <w:spacing w:line="58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本年收入</w:t>
      </w:r>
      <w:r>
        <w:rPr>
          <w:rFonts w:hint="eastAsia" w:ascii="仿宋_GB2312" w:hAnsi="TimesNewRoman" w:eastAsia="仿宋_GB2312" w:cs="TimesNewRoman"/>
          <w:sz w:val="32"/>
          <w:szCs w:val="32"/>
          <w:lang w:val="en-US" w:eastAsia="zh-CN"/>
        </w:rPr>
        <w:t>124.74</w:t>
      </w:r>
      <w:r>
        <w:rPr>
          <w:rFonts w:hint="eastAsia" w:ascii="仿宋_GB2312" w:hAnsi="TimesNewRoman" w:eastAsia="仿宋_GB2312" w:cs="TimesNewRoman"/>
          <w:sz w:val="32"/>
          <w:szCs w:val="32"/>
        </w:rPr>
        <w:t>万元，收入全部为一般公共预算拨款收入，比2023年预算增加</w:t>
      </w:r>
      <w:r>
        <w:rPr>
          <w:rFonts w:hint="eastAsia" w:ascii="仿宋_GB2312" w:hAnsi="TimesNewRoman" w:eastAsia="仿宋_GB2312" w:cs="TimesNewRoman"/>
          <w:sz w:val="32"/>
          <w:szCs w:val="32"/>
          <w:lang w:val="en-US" w:eastAsia="zh-CN"/>
        </w:rPr>
        <w:t>11.61</w:t>
      </w:r>
      <w:r>
        <w:rPr>
          <w:rFonts w:hint="eastAsia" w:ascii="仿宋_GB2312" w:hAnsi="TimesNewRoman" w:eastAsia="仿宋_GB2312" w:cs="TimesNewRoman"/>
          <w:sz w:val="32"/>
          <w:szCs w:val="32"/>
        </w:rPr>
        <w:t>万元，增长</w:t>
      </w:r>
      <w:r>
        <w:rPr>
          <w:rFonts w:hint="eastAsia" w:ascii="仿宋_GB2312" w:hAnsi="TimesNewRoman" w:eastAsia="仿宋_GB2312" w:cs="TimesNewRoman"/>
          <w:sz w:val="32"/>
          <w:szCs w:val="32"/>
          <w:lang w:val="en-US" w:eastAsia="zh-CN"/>
        </w:rPr>
        <w:t>10.26</w:t>
      </w:r>
      <w:r>
        <w:rPr>
          <w:rFonts w:hint="eastAsia" w:ascii="仿宋_GB2312" w:hAnsi="TimesNewRoman" w:eastAsia="仿宋_GB2312" w:cs="TimesNewRoman"/>
          <w:sz w:val="32"/>
          <w:szCs w:val="32"/>
        </w:rPr>
        <w:t>%，增长原因主要是</w:t>
      </w:r>
      <w:r>
        <w:rPr>
          <w:rFonts w:hint="eastAsia" w:ascii="仿宋_GB2312" w:hAnsi="TimesNewRoman" w:eastAsia="仿宋_GB2312" w:cs="TimesNewRoman"/>
          <w:sz w:val="32"/>
          <w:szCs w:val="32"/>
          <w:lang w:val="en-US" w:eastAsia="zh-CN"/>
        </w:rPr>
        <w:t>与2023年预算相比本年退休人员增发补贴纳入年初预算导致收入增加</w:t>
      </w:r>
      <w:r>
        <w:rPr>
          <w:rFonts w:hint="eastAsia" w:ascii="仿宋_GB2312" w:hAnsi="TimesNewRoman" w:eastAsia="仿宋_GB2312" w:cs="TimesNewRoman"/>
          <w:sz w:val="32"/>
          <w:szCs w:val="32"/>
        </w:rPr>
        <w:t>。</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三、关于2024年支出总表的说明</w:t>
      </w:r>
    </w:p>
    <w:p>
      <w:pPr>
        <w:topLinePunct/>
        <w:adjustRightInd w:val="0"/>
        <w:snapToGrid w:val="0"/>
        <w:spacing w:line="58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2024年支出预算</w:t>
      </w:r>
      <w:r>
        <w:rPr>
          <w:rFonts w:hint="eastAsia" w:ascii="仿宋_GB2312" w:hAnsi="TimesNewRoman" w:eastAsia="仿宋_GB2312" w:cs="TimesNewRoman"/>
          <w:sz w:val="32"/>
          <w:szCs w:val="32"/>
          <w:lang w:val="en-US" w:eastAsia="zh-CN"/>
        </w:rPr>
        <w:t>124.74</w:t>
      </w:r>
      <w:r>
        <w:rPr>
          <w:rFonts w:hint="eastAsia" w:ascii="仿宋_GB2312" w:hAnsi="TimesNewRoman" w:eastAsia="仿宋_GB2312" w:cs="TimesNewRoman"/>
          <w:sz w:val="32"/>
          <w:szCs w:val="32"/>
        </w:rPr>
        <w:t>万元，比2023年预算增加</w:t>
      </w:r>
      <w:r>
        <w:rPr>
          <w:rFonts w:hint="eastAsia" w:ascii="仿宋_GB2312" w:hAnsi="TimesNewRoman" w:eastAsia="仿宋_GB2312" w:cs="TimesNewRoman"/>
          <w:sz w:val="32"/>
          <w:szCs w:val="32"/>
          <w:lang w:val="en-US" w:eastAsia="zh-CN"/>
        </w:rPr>
        <w:t>11.61</w:t>
      </w:r>
      <w:r>
        <w:rPr>
          <w:rFonts w:hint="eastAsia" w:ascii="仿宋_GB2312" w:hAnsi="TimesNewRoman" w:eastAsia="仿宋_GB2312" w:cs="TimesNewRoman"/>
          <w:sz w:val="32"/>
          <w:szCs w:val="32"/>
        </w:rPr>
        <w:t>万元，增长</w:t>
      </w:r>
      <w:r>
        <w:rPr>
          <w:rFonts w:hint="eastAsia" w:ascii="仿宋_GB2312" w:hAnsi="TimesNewRoman" w:eastAsia="仿宋_GB2312" w:cs="TimesNewRoman"/>
          <w:sz w:val="32"/>
          <w:szCs w:val="32"/>
          <w:lang w:val="en-US" w:eastAsia="zh-CN"/>
        </w:rPr>
        <w:t>10.26</w:t>
      </w:r>
      <w:r>
        <w:rPr>
          <w:rFonts w:hint="eastAsia" w:ascii="仿宋_GB2312" w:hAnsi="TimesNewRoman" w:eastAsia="仿宋_GB2312" w:cs="TimesNewRoman"/>
          <w:sz w:val="32"/>
          <w:szCs w:val="32"/>
        </w:rPr>
        <w:t>%，增长原因主要是</w:t>
      </w:r>
      <w:r>
        <w:rPr>
          <w:rFonts w:hint="eastAsia" w:ascii="仿宋_GB2312" w:hAnsi="TimesNewRoman" w:eastAsia="仿宋_GB2312" w:cs="TimesNewRoman"/>
          <w:sz w:val="32"/>
          <w:szCs w:val="32"/>
          <w:lang w:val="en-US" w:eastAsia="zh-CN"/>
        </w:rPr>
        <w:t>与2023年预算相比本年退休人员增发补贴纳入年初预算导致支出增加</w:t>
      </w:r>
      <w:r>
        <w:rPr>
          <w:rFonts w:hint="eastAsia" w:ascii="仿宋_GB2312" w:hAnsi="TimesNewRoman" w:eastAsia="仿宋_GB2312" w:cs="TimesNewRoman"/>
          <w:sz w:val="32"/>
          <w:szCs w:val="32"/>
        </w:rPr>
        <w:t>。其中，基本支出</w:t>
      </w:r>
      <w:r>
        <w:rPr>
          <w:rFonts w:hint="eastAsia" w:ascii="仿宋_GB2312" w:hAnsi="TimesNewRoman" w:eastAsia="仿宋_GB2312" w:cs="TimesNewRoman"/>
          <w:sz w:val="32"/>
          <w:szCs w:val="32"/>
          <w:lang w:val="en-US" w:eastAsia="zh-CN"/>
        </w:rPr>
        <w:t>79.14</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63.44</w:t>
      </w:r>
      <w:r>
        <w:rPr>
          <w:rFonts w:hint="eastAsia" w:ascii="仿宋_GB2312" w:hAnsi="TimesNewRoman" w:eastAsia="仿宋_GB2312" w:cs="TimesNewRoman"/>
          <w:sz w:val="32"/>
          <w:szCs w:val="32"/>
        </w:rPr>
        <w:t>%，主要用于保障机构日常运转、完成日常工作任务；项目支出</w:t>
      </w:r>
      <w:r>
        <w:rPr>
          <w:rFonts w:hint="eastAsia" w:ascii="仿宋_GB2312" w:hAnsi="TimesNewRoman" w:eastAsia="仿宋_GB2312" w:cs="TimesNewRoman"/>
          <w:sz w:val="32"/>
          <w:szCs w:val="32"/>
          <w:lang w:val="en-US" w:eastAsia="zh-CN"/>
        </w:rPr>
        <w:t>45.6</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36.56</w:t>
      </w:r>
      <w:r>
        <w:rPr>
          <w:rFonts w:hint="eastAsia" w:ascii="仿宋_GB2312" w:hAnsi="TimesNewRoman" w:eastAsia="仿宋_GB2312" w:cs="TimesNewRoman"/>
          <w:sz w:val="32"/>
          <w:szCs w:val="32"/>
        </w:rPr>
        <w:t>%，主要用于</w:t>
      </w:r>
      <w:r>
        <w:rPr>
          <w:rFonts w:hint="eastAsia" w:ascii="仿宋_GB2312" w:hAnsi="TimesNewRoman" w:eastAsia="仿宋_GB2312" w:cs="TimesNewRoman"/>
          <w:sz w:val="32"/>
          <w:szCs w:val="32"/>
          <w:lang w:val="en-US" w:eastAsia="zh-CN"/>
        </w:rPr>
        <w:t>保障单位科普工作相关支出</w:t>
      </w:r>
      <w:r>
        <w:rPr>
          <w:rFonts w:hint="eastAsia" w:ascii="仿宋_GB2312" w:hAnsi="TimesNewRoman" w:eastAsia="仿宋_GB2312" w:cs="TimesNewRoman"/>
          <w:sz w:val="32"/>
          <w:szCs w:val="32"/>
        </w:rPr>
        <w:t>。</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四、关于2024年财政拨款收支总表的说明</w:t>
      </w:r>
    </w:p>
    <w:p>
      <w:pPr>
        <w:pStyle w:val="3"/>
        <w:topLinePunct/>
        <w:adjustRightInd w:val="0"/>
        <w:snapToGrid w:val="0"/>
        <w:spacing w:beforeAutospacing="0" w:afterAutospacing="0" w:line="580" w:lineRule="exact"/>
        <w:ind w:firstLine="640" w:firstLineChars="200"/>
        <w:jc w:val="both"/>
        <w:rPr>
          <w:rFonts w:hint="eastAsia" w:ascii="仿宋_GB2312" w:hAnsi="TimesNewRoman" w:eastAsia="仿宋_GB2312" w:cs="TimesNewRoman"/>
          <w:sz w:val="32"/>
          <w:szCs w:val="32"/>
        </w:rPr>
      </w:pP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2024年财政拨款收支预算</w:t>
      </w:r>
      <w:r>
        <w:rPr>
          <w:rFonts w:hint="eastAsia" w:ascii="仿宋_GB2312" w:hAnsi="TimesNewRoman" w:eastAsia="仿宋_GB2312" w:cs="TimesNewRoman"/>
          <w:sz w:val="32"/>
          <w:szCs w:val="32"/>
          <w:lang w:val="en-US" w:eastAsia="zh-CN"/>
        </w:rPr>
        <w:t>124.74</w:t>
      </w:r>
      <w:r>
        <w:rPr>
          <w:rFonts w:hint="eastAsia" w:ascii="仿宋_GB2312" w:hAnsi="TimesNewRoman" w:eastAsia="仿宋_GB2312" w:cs="TimesNewRoman"/>
          <w:sz w:val="32"/>
          <w:szCs w:val="32"/>
        </w:rPr>
        <w:t>万元。收入按资金来源分全部为一般公共预算拨款</w:t>
      </w:r>
      <w:r>
        <w:rPr>
          <w:rFonts w:hint="eastAsia" w:ascii="仿宋_GB2312" w:hAnsi="TimesNewRoman" w:eastAsia="仿宋_GB2312" w:cs="TimesNewRoman"/>
          <w:sz w:val="32"/>
          <w:szCs w:val="32"/>
          <w:lang w:val="en-US" w:eastAsia="zh-CN"/>
        </w:rPr>
        <w:t>124.74</w:t>
      </w:r>
      <w:r>
        <w:rPr>
          <w:rFonts w:hint="eastAsia" w:ascii="仿宋_GB2312" w:hAnsi="TimesNewRoman" w:eastAsia="仿宋_GB2312" w:cs="TimesNewRoman"/>
          <w:sz w:val="32"/>
          <w:szCs w:val="32"/>
        </w:rPr>
        <w:t>万元。支出按功能分类分为：</w:t>
      </w:r>
      <w:r>
        <w:rPr>
          <w:rFonts w:hint="eastAsia" w:ascii="仿宋_GB2312" w:hAnsi="TimesNewRoman" w:eastAsia="仿宋_GB2312" w:cs="TimesNewRoman"/>
          <w:sz w:val="32"/>
          <w:szCs w:val="32"/>
          <w:lang w:val="en-US" w:eastAsia="zh-CN"/>
        </w:rPr>
        <w:t>科学技术</w:t>
      </w:r>
      <w:r>
        <w:rPr>
          <w:rFonts w:hint="eastAsia" w:ascii="仿宋_GB2312" w:hAnsi="TimesNewRoman" w:eastAsia="仿宋_GB2312" w:cs="TimesNewRoman"/>
          <w:sz w:val="32"/>
          <w:szCs w:val="32"/>
        </w:rPr>
        <w:t>支出</w:t>
      </w:r>
      <w:r>
        <w:rPr>
          <w:rFonts w:hint="eastAsia" w:ascii="仿宋_GB2312" w:hAnsi="TimesNewRoman" w:eastAsia="仿宋_GB2312" w:cs="TimesNewRoman"/>
          <w:sz w:val="32"/>
          <w:szCs w:val="32"/>
          <w:lang w:val="en-US" w:eastAsia="zh-CN"/>
        </w:rPr>
        <w:t>90.91</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72.88</w:t>
      </w:r>
      <w:r>
        <w:rPr>
          <w:rFonts w:hint="eastAsia" w:ascii="仿宋_GB2312" w:hAnsi="TimesNewRoman" w:eastAsia="仿宋_GB2312" w:cs="TimesNewRoman"/>
          <w:sz w:val="32"/>
          <w:szCs w:val="32"/>
        </w:rPr>
        <w:t>%；社会保障和就业支出</w:t>
      </w:r>
      <w:r>
        <w:rPr>
          <w:rFonts w:hint="eastAsia" w:ascii="仿宋_GB2312" w:hAnsi="TimesNewRoman" w:eastAsia="仿宋_GB2312" w:cs="TimesNewRoman"/>
          <w:sz w:val="32"/>
          <w:szCs w:val="32"/>
          <w:lang w:val="en-US" w:eastAsia="zh-CN"/>
        </w:rPr>
        <w:t>25.52</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20.46</w:t>
      </w:r>
      <w:r>
        <w:rPr>
          <w:rFonts w:hint="eastAsia" w:ascii="仿宋_GB2312" w:hAnsi="TimesNewRoman" w:eastAsia="仿宋_GB2312" w:cs="TimesNewRoman"/>
          <w:sz w:val="32"/>
          <w:szCs w:val="32"/>
        </w:rPr>
        <w:t>%；卫生健康支出</w:t>
      </w:r>
      <w:r>
        <w:rPr>
          <w:rFonts w:hint="eastAsia" w:ascii="仿宋_GB2312" w:hAnsi="TimesNewRoman" w:eastAsia="仿宋_GB2312" w:cs="TimesNewRoman"/>
          <w:sz w:val="32"/>
          <w:szCs w:val="32"/>
          <w:lang w:val="en-US" w:eastAsia="zh-CN"/>
        </w:rPr>
        <w:t>3.89</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3.12</w:t>
      </w:r>
      <w:r>
        <w:rPr>
          <w:rFonts w:hint="eastAsia" w:ascii="仿宋_GB2312" w:hAnsi="TimesNewRoman" w:eastAsia="仿宋_GB2312" w:cs="TimesNewRoman"/>
          <w:sz w:val="32"/>
          <w:szCs w:val="32"/>
        </w:rPr>
        <w:t>%；住房保障支出</w:t>
      </w:r>
      <w:r>
        <w:rPr>
          <w:rFonts w:hint="eastAsia" w:ascii="仿宋_GB2312" w:hAnsi="TimesNewRoman" w:eastAsia="仿宋_GB2312" w:cs="TimesNewRoman"/>
          <w:sz w:val="32"/>
          <w:szCs w:val="32"/>
          <w:lang w:val="en-US" w:eastAsia="zh-CN"/>
        </w:rPr>
        <w:t>4.42</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3.54</w:t>
      </w:r>
      <w:r>
        <w:rPr>
          <w:rFonts w:hint="eastAsia" w:ascii="仿宋_GB2312" w:hAnsi="TimesNewRoman" w:eastAsia="仿宋_GB2312" w:cs="TimesNewRoman"/>
          <w:sz w:val="32"/>
          <w:szCs w:val="32"/>
        </w:rPr>
        <w:t>%。</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五、关于2024年一般公共预算支出表的说明</w:t>
      </w:r>
    </w:p>
    <w:p>
      <w:pPr>
        <w:pStyle w:val="3"/>
        <w:topLinePunct/>
        <w:adjustRightInd w:val="0"/>
        <w:snapToGrid w:val="0"/>
        <w:spacing w:beforeAutospacing="0" w:afterAutospacing="0" w:line="580" w:lineRule="exact"/>
        <w:ind w:firstLine="630" w:firstLineChars="196"/>
        <w:jc w:val="both"/>
        <w:rPr>
          <w:rFonts w:hint="eastAsia" w:ascii="仿宋_GB2312" w:hAnsi="TimesNewRoman" w:eastAsia="仿宋_GB2312" w:cs="TimesNewRoman"/>
          <w:b/>
          <w:sz w:val="32"/>
          <w:szCs w:val="32"/>
        </w:rPr>
      </w:pPr>
      <w:r>
        <w:rPr>
          <w:rFonts w:hint="eastAsia" w:ascii="仿宋_GB2312" w:hAnsi="TimesNewRoman" w:eastAsia="仿宋_GB2312" w:cs="TimesNewRoman"/>
          <w:b/>
          <w:sz w:val="32"/>
          <w:szCs w:val="32"/>
        </w:rPr>
        <w:t>（一）一般公共预算支出规模变化情况。</w:t>
      </w:r>
    </w:p>
    <w:p>
      <w:pPr>
        <w:topLinePunct/>
        <w:adjustRightInd w:val="0"/>
        <w:snapToGrid w:val="0"/>
        <w:spacing w:line="58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2024年一般公共预算支出</w:t>
      </w:r>
      <w:r>
        <w:rPr>
          <w:rFonts w:hint="eastAsia" w:ascii="仿宋_GB2312" w:hAnsi="TimesNewRoman" w:eastAsia="仿宋_GB2312" w:cs="TimesNewRoman"/>
          <w:sz w:val="32"/>
          <w:szCs w:val="32"/>
          <w:lang w:val="en-US" w:eastAsia="zh-CN"/>
        </w:rPr>
        <w:t>124.74</w:t>
      </w:r>
      <w:r>
        <w:rPr>
          <w:rFonts w:hint="eastAsia" w:ascii="仿宋_GB2312" w:hAnsi="TimesNewRoman" w:eastAsia="仿宋_GB2312" w:cs="TimesNewRoman"/>
          <w:sz w:val="32"/>
          <w:szCs w:val="32"/>
        </w:rPr>
        <w:t>万元，比2023年预算增加</w:t>
      </w:r>
      <w:r>
        <w:rPr>
          <w:rFonts w:hint="eastAsia" w:ascii="仿宋_GB2312" w:hAnsi="TimesNewRoman" w:eastAsia="仿宋_GB2312" w:cs="TimesNewRoman"/>
          <w:sz w:val="32"/>
          <w:szCs w:val="32"/>
          <w:lang w:val="en-US" w:eastAsia="zh-CN"/>
        </w:rPr>
        <w:t>11.61</w:t>
      </w:r>
      <w:r>
        <w:rPr>
          <w:rFonts w:hint="eastAsia" w:ascii="仿宋_GB2312" w:hAnsi="TimesNewRoman" w:eastAsia="仿宋_GB2312" w:cs="TimesNewRoman"/>
          <w:sz w:val="32"/>
          <w:szCs w:val="32"/>
        </w:rPr>
        <w:t>万元，增长</w:t>
      </w:r>
      <w:r>
        <w:rPr>
          <w:rFonts w:hint="eastAsia" w:ascii="仿宋_GB2312" w:hAnsi="TimesNewRoman" w:eastAsia="仿宋_GB2312" w:cs="TimesNewRoman"/>
          <w:sz w:val="32"/>
          <w:szCs w:val="32"/>
          <w:lang w:val="en-US" w:eastAsia="zh-CN"/>
        </w:rPr>
        <w:t>10.26</w:t>
      </w:r>
      <w:r>
        <w:rPr>
          <w:rFonts w:hint="eastAsia" w:ascii="仿宋_GB2312" w:hAnsi="TimesNewRoman" w:eastAsia="仿宋_GB2312" w:cs="TimesNewRoman"/>
          <w:sz w:val="32"/>
          <w:szCs w:val="32"/>
        </w:rPr>
        <w:t>%，增长原因主要是</w:t>
      </w:r>
      <w:r>
        <w:rPr>
          <w:rFonts w:hint="eastAsia" w:ascii="仿宋_GB2312" w:hAnsi="TimesNewRoman" w:eastAsia="仿宋_GB2312" w:cs="TimesNewRoman"/>
          <w:sz w:val="32"/>
          <w:szCs w:val="32"/>
          <w:lang w:val="en-US" w:eastAsia="zh-CN"/>
        </w:rPr>
        <w:t>与2023年预算相比本年退休人员增发补贴纳入年初预算导致支出增加</w:t>
      </w:r>
      <w:r>
        <w:rPr>
          <w:rFonts w:hint="eastAsia" w:ascii="仿宋_GB2312" w:hAnsi="TimesNewRoman" w:eastAsia="仿宋_GB2312" w:cs="TimesNewRoman"/>
          <w:sz w:val="32"/>
          <w:szCs w:val="32"/>
        </w:rPr>
        <w:t>。</w:t>
      </w:r>
    </w:p>
    <w:p>
      <w:pPr>
        <w:pStyle w:val="3"/>
        <w:topLinePunct/>
        <w:adjustRightInd w:val="0"/>
        <w:snapToGrid w:val="0"/>
        <w:spacing w:beforeAutospacing="0" w:afterAutospacing="0" w:line="580" w:lineRule="exact"/>
        <w:ind w:firstLine="630" w:firstLineChars="196"/>
        <w:jc w:val="both"/>
        <w:rPr>
          <w:rFonts w:hint="eastAsia" w:ascii="仿宋_GB2312" w:hAnsi="TimesNewRoman" w:eastAsia="仿宋_GB2312" w:cs="TimesNewRoman"/>
          <w:b/>
          <w:sz w:val="32"/>
          <w:szCs w:val="32"/>
        </w:rPr>
      </w:pPr>
      <w:r>
        <w:rPr>
          <w:rFonts w:hint="eastAsia" w:ascii="仿宋_GB2312" w:hAnsi="TimesNewRoman" w:eastAsia="仿宋_GB2312" w:cs="TimesNewRoman"/>
          <w:b/>
          <w:sz w:val="32"/>
          <w:szCs w:val="32"/>
        </w:rPr>
        <w:t>（二）一般公共预算支出结构情况。</w:t>
      </w:r>
    </w:p>
    <w:p>
      <w:pPr>
        <w:pStyle w:val="3"/>
        <w:topLinePunct/>
        <w:adjustRightInd w:val="0"/>
        <w:snapToGrid w:val="0"/>
        <w:spacing w:beforeAutospacing="0" w:afterAutospacing="0" w:line="580" w:lineRule="exact"/>
        <w:ind w:firstLine="640" w:firstLineChars="200"/>
        <w:jc w:val="both"/>
        <w:rPr>
          <w:rFonts w:hint="eastAsia" w:ascii="仿宋_GB2312" w:hAnsi="TimesNewRoman" w:eastAsia="仿宋_GB2312" w:cs="TimesNewRoman"/>
          <w:sz w:val="32"/>
          <w:szCs w:val="32"/>
        </w:rPr>
      </w:pPr>
      <w:r>
        <w:rPr>
          <w:rFonts w:hint="eastAsia" w:ascii="仿宋_GB2312" w:hAnsi="TimesNewRoman" w:eastAsia="仿宋_GB2312" w:cs="TimesNewRoman"/>
          <w:sz w:val="32"/>
          <w:szCs w:val="32"/>
          <w:lang w:val="en-US" w:eastAsia="zh-CN"/>
        </w:rPr>
        <w:t>科学技术</w:t>
      </w:r>
      <w:r>
        <w:rPr>
          <w:rFonts w:hint="eastAsia" w:ascii="仿宋_GB2312" w:hAnsi="TimesNewRoman" w:eastAsia="仿宋_GB2312" w:cs="TimesNewRoman"/>
          <w:sz w:val="32"/>
          <w:szCs w:val="32"/>
        </w:rPr>
        <w:t>支出</w:t>
      </w:r>
      <w:r>
        <w:rPr>
          <w:rFonts w:hint="eastAsia" w:ascii="仿宋_GB2312" w:hAnsi="TimesNewRoman" w:eastAsia="仿宋_GB2312" w:cs="TimesNewRoman"/>
          <w:sz w:val="32"/>
          <w:szCs w:val="32"/>
          <w:lang w:val="en-US" w:eastAsia="zh-CN"/>
        </w:rPr>
        <w:t>90.91</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72.88</w:t>
      </w:r>
      <w:r>
        <w:rPr>
          <w:rFonts w:hint="eastAsia" w:ascii="仿宋_GB2312" w:hAnsi="TimesNewRoman" w:eastAsia="仿宋_GB2312" w:cs="TimesNewRoman"/>
          <w:sz w:val="32"/>
          <w:szCs w:val="32"/>
        </w:rPr>
        <w:t>%；社会保障和就业支出</w:t>
      </w:r>
      <w:r>
        <w:rPr>
          <w:rFonts w:hint="eastAsia" w:ascii="仿宋_GB2312" w:hAnsi="TimesNewRoman" w:eastAsia="仿宋_GB2312" w:cs="TimesNewRoman"/>
          <w:sz w:val="32"/>
          <w:szCs w:val="32"/>
          <w:lang w:val="en-US" w:eastAsia="zh-CN"/>
        </w:rPr>
        <w:t>25.52</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20.46</w:t>
      </w:r>
      <w:r>
        <w:rPr>
          <w:rFonts w:hint="eastAsia" w:ascii="仿宋_GB2312" w:hAnsi="TimesNewRoman" w:eastAsia="仿宋_GB2312" w:cs="TimesNewRoman"/>
          <w:sz w:val="32"/>
          <w:szCs w:val="32"/>
        </w:rPr>
        <w:t>%；卫生健康支出</w:t>
      </w:r>
      <w:r>
        <w:rPr>
          <w:rFonts w:hint="eastAsia" w:ascii="仿宋_GB2312" w:hAnsi="TimesNewRoman" w:eastAsia="仿宋_GB2312" w:cs="TimesNewRoman"/>
          <w:sz w:val="32"/>
          <w:szCs w:val="32"/>
          <w:lang w:val="en-US" w:eastAsia="zh-CN"/>
        </w:rPr>
        <w:t>3.89</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3.12</w:t>
      </w:r>
      <w:r>
        <w:rPr>
          <w:rFonts w:hint="eastAsia" w:ascii="仿宋_GB2312" w:hAnsi="TimesNewRoman" w:eastAsia="仿宋_GB2312" w:cs="TimesNewRoman"/>
          <w:sz w:val="32"/>
          <w:szCs w:val="32"/>
        </w:rPr>
        <w:t>%；住房保障支出</w:t>
      </w:r>
      <w:r>
        <w:rPr>
          <w:rFonts w:hint="eastAsia" w:ascii="仿宋_GB2312" w:hAnsi="TimesNewRoman" w:eastAsia="仿宋_GB2312" w:cs="TimesNewRoman"/>
          <w:sz w:val="32"/>
          <w:szCs w:val="32"/>
          <w:lang w:val="en-US" w:eastAsia="zh-CN"/>
        </w:rPr>
        <w:t>4.42</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3.54</w:t>
      </w:r>
      <w:r>
        <w:rPr>
          <w:rFonts w:hint="eastAsia" w:ascii="仿宋_GB2312" w:hAnsi="TimesNewRoman" w:eastAsia="仿宋_GB2312" w:cs="TimesNewRoman"/>
          <w:sz w:val="32"/>
          <w:szCs w:val="32"/>
        </w:rPr>
        <w:t>%。</w:t>
      </w:r>
    </w:p>
    <w:p>
      <w:pPr>
        <w:topLinePunct/>
        <w:adjustRightInd w:val="0"/>
        <w:snapToGrid w:val="0"/>
        <w:spacing w:line="580" w:lineRule="exact"/>
        <w:ind w:firstLine="643" w:firstLineChars="200"/>
        <w:rPr>
          <w:rFonts w:hint="eastAsia" w:ascii="仿宋_GB2312" w:hAnsi="TimesNewRoman" w:eastAsia="仿宋_GB2312" w:cs="TimesNewRoman"/>
          <w:b/>
          <w:sz w:val="32"/>
          <w:szCs w:val="32"/>
        </w:rPr>
      </w:pPr>
      <w:r>
        <w:rPr>
          <w:rFonts w:hint="eastAsia" w:ascii="仿宋_GB2312" w:hAnsi="TimesNewRoman" w:eastAsia="仿宋_GB2312" w:cs="TimesNewRoman"/>
          <w:b/>
          <w:sz w:val="32"/>
          <w:szCs w:val="32"/>
        </w:rPr>
        <w:t>（三）一般公共预算支出具体使用情况。</w:t>
      </w:r>
    </w:p>
    <w:p>
      <w:pPr>
        <w:pStyle w:val="3"/>
        <w:adjustRightInd w:val="0"/>
        <w:snapToGrid w:val="0"/>
        <w:spacing w:before="0" w:beforeAutospacing="0" w:after="0" w:afterAutospacing="0" w:line="600" w:lineRule="exact"/>
        <w:ind w:firstLine="630" w:firstLineChars="196"/>
        <w:rPr>
          <w:rFonts w:ascii="仿宋_GB2312" w:hAnsi="仿宋" w:eastAsia="仿宋_GB2312"/>
          <w:sz w:val="32"/>
          <w:szCs w:val="32"/>
        </w:rPr>
      </w:pPr>
      <w:r>
        <w:rPr>
          <w:rFonts w:hint="eastAsia" w:ascii="仿宋" w:hAnsi="仿宋" w:eastAsia="仿宋"/>
          <w:b/>
          <w:sz w:val="32"/>
          <w:szCs w:val="32"/>
        </w:rPr>
        <w:t>1.科学技术支出（类）科学技术普及（款）机构运行（项）</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90.91</w:t>
      </w:r>
      <w:r>
        <w:rPr>
          <w:rFonts w:hint="eastAsia" w:ascii="仿宋_GB2312" w:hAnsi="仿宋" w:eastAsia="仿宋_GB2312"/>
          <w:sz w:val="32"/>
          <w:szCs w:val="32"/>
        </w:rPr>
        <w:t>万元，比202</w:t>
      </w:r>
      <w:r>
        <w:rPr>
          <w:rFonts w:ascii="仿宋_GB2312" w:hAnsi="仿宋" w:eastAsia="仿宋_GB2312"/>
          <w:sz w:val="32"/>
          <w:szCs w:val="32"/>
        </w:rPr>
        <w:t>3</w:t>
      </w:r>
      <w:r>
        <w:rPr>
          <w:rFonts w:hint="eastAsia" w:ascii="仿宋_GB2312" w:hAnsi="仿宋" w:eastAsia="仿宋_GB2312"/>
          <w:sz w:val="32"/>
          <w:szCs w:val="32"/>
        </w:rPr>
        <w:t>年预算减少</w:t>
      </w:r>
      <w:r>
        <w:rPr>
          <w:rFonts w:hint="eastAsia" w:ascii="仿宋_GB2312" w:hAnsi="仿宋" w:eastAsia="仿宋_GB2312"/>
          <w:sz w:val="32"/>
          <w:szCs w:val="32"/>
          <w:lang w:val="en-US" w:eastAsia="zh-CN"/>
        </w:rPr>
        <w:t>3.39</w:t>
      </w:r>
      <w:r>
        <w:rPr>
          <w:rFonts w:hint="eastAsia" w:ascii="仿宋_GB2312" w:hAnsi="仿宋" w:eastAsia="仿宋_GB2312"/>
          <w:sz w:val="32"/>
          <w:szCs w:val="32"/>
        </w:rPr>
        <w:t>万元，下降</w:t>
      </w:r>
      <w:r>
        <w:rPr>
          <w:rFonts w:hint="eastAsia" w:ascii="仿宋_GB2312" w:hAnsi="仿宋" w:eastAsia="仿宋_GB2312"/>
          <w:sz w:val="32"/>
          <w:szCs w:val="32"/>
          <w:lang w:val="en-US" w:eastAsia="zh-CN"/>
        </w:rPr>
        <w:t>3.59</w:t>
      </w:r>
      <w:r>
        <w:rPr>
          <w:rFonts w:hint="eastAsia" w:ascii="仿宋_GB2312" w:hAnsi="仿宋" w:eastAsia="仿宋_GB2312"/>
          <w:sz w:val="32"/>
          <w:szCs w:val="32"/>
        </w:rPr>
        <w:t>%，下降原因主要是厉行节约，进一步压缩</w:t>
      </w:r>
      <w:r>
        <w:rPr>
          <w:rFonts w:hint="eastAsia" w:ascii="仿宋_GB2312" w:hAnsi="仿宋" w:eastAsia="仿宋_GB2312"/>
          <w:sz w:val="32"/>
          <w:szCs w:val="32"/>
          <w:lang w:val="en-US" w:eastAsia="zh-CN"/>
        </w:rPr>
        <w:t>科普</w:t>
      </w:r>
      <w:r>
        <w:rPr>
          <w:rFonts w:hint="eastAsia" w:ascii="仿宋_GB2312" w:hAnsi="仿宋" w:eastAsia="仿宋_GB2312"/>
          <w:sz w:val="32"/>
          <w:szCs w:val="32"/>
        </w:rPr>
        <w:t>项目支出</w:t>
      </w:r>
      <w:r>
        <w:rPr>
          <w:rFonts w:hint="eastAsia" w:ascii="仿宋_GB2312" w:hAnsi="仿宋" w:eastAsia="仿宋_GB2312"/>
          <w:sz w:val="32"/>
          <w:szCs w:val="32"/>
          <w:lang w:val="en-US" w:eastAsia="zh-CN"/>
        </w:rPr>
        <w:t>和人员经费减少</w:t>
      </w:r>
      <w:r>
        <w:rPr>
          <w:rFonts w:hint="eastAsia" w:ascii="仿宋_GB2312" w:hAnsi="仿宋" w:eastAsia="仿宋_GB2312"/>
          <w:sz w:val="32"/>
          <w:szCs w:val="32"/>
        </w:rPr>
        <w:t>。</w:t>
      </w:r>
    </w:p>
    <w:p>
      <w:pPr>
        <w:topLinePunct/>
        <w:adjustRightInd w:val="0"/>
        <w:snapToGrid w:val="0"/>
        <w:spacing w:line="580" w:lineRule="exact"/>
        <w:ind w:firstLine="643" w:firstLineChars="200"/>
        <w:rPr>
          <w:rFonts w:hint="eastAsia" w:ascii="仿宋_GB2312" w:hAnsi="TimesNewRoman" w:eastAsia="仿宋_GB2312" w:cs="TimesNewRoman"/>
          <w:sz w:val="32"/>
          <w:szCs w:val="32"/>
        </w:rPr>
      </w:pPr>
      <w:r>
        <w:rPr>
          <w:rFonts w:hint="eastAsia" w:ascii="仿宋" w:hAnsi="仿宋" w:eastAsia="仿宋"/>
          <w:b/>
          <w:sz w:val="32"/>
          <w:szCs w:val="32"/>
        </w:rPr>
        <w:t xml:space="preserve">2.社会保障和就业支出（类） 行政事业单位养老支出（款）  </w:t>
      </w:r>
      <w:r>
        <w:rPr>
          <w:rFonts w:hint="eastAsia" w:ascii="仿宋" w:hAnsi="仿宋" w:eastAsia="仿宋"/>
          <w:b/>
          <w:sz w:val="32"/>
          <w:szCs w:val="32"/>
          <w:lang w:val="en-US" w:eastAsia="zh-CN"/>
        </w:rPr>
        <w:t>行政单位离退休</w:t>
      </w:r>
      <w:r>
        <w:rPr>
          <w:rFonts w:hint="eastAsia" w:ascii="仿宋" w:hAnsi="仿宋" w:eastAsia="仿宋"/>
          <w:b/>
          <w:sz w:val="32"/>
          <w:szCs w:val="32"/>
        </w:rPr>
        <w:t>（项）</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16.62</w:t>
      </w:r>
      <w:r>
        <w:rPr>
          <w:rFonts w:hint="eastAsia" w:ascii="仿宋_GB2312" w:hAnsi="仿宋" w:eastAsia="仿宋_GB2312"/>
          <w:sz w:val="32"/>
          <w:szCs w:val="32"/>
        </w:rPr>
        <w:t>万元，比202</w:t>
      </w:r>
      <w:r>
        <w:rPr>
          <w:rFonts w:ascii="仿宋_GB2312" w:hAnsi="仿宋" w:eastAsia="仿宋_GB2312"/>
          <w:sz w:val="32"/>
          <w:szCs w:val="32"/>
        </w:rPr>
        <w:t>3</w:t>
      </w:r>
      <w:r>
        <w:rPr>
          <w:rFonts w:hint="eastAsia" w:ascii="仿宋_GB2312" w:hAnsi="仿宋" w:eastAsia="仿宋_GB2312"/>
          <w:sz w:val="32"/>
          <w:szCs w:val="32"/>
        </w:rPr>
        <w:t>年预算增加</w:t>
      </w:r>
      <w:r>
        <w:rPr>
          <w:rFonts w:hint="eastAsia" w:ascii="仿宋_GB2312" w:hAnsi="仿宋" w:eastAsia="仿宋_GB2312"/>
          <w:sz w:val="32"/>
          <w:szCs w:val="32"/>
          <w:lang w:val="en-US" w:eastAsia="zh-CN"/>
        </w:rPr>
        <w:t>16.62</w:t>
      </w:r>
      <w:r>
        <w:rPr>
          <w:rFonts w:hint="eastAsia" w:ascii="仿宋_GB2312" w:hAnsi="仿宋" w:eastAsia="仿宋_GB2312"/>
          <w:sz w:val="32"/>
          <w:szCs w:val="32"/>
        </w:rPr>
        <w:t>万元，增长原因</w:t>
      </w:r>
      <w:r>
        <w:rPr>
          <w:rFonts w:hint="eastAsia" w:ascii="仿宋_GB2312" w:hAnsi="TimesNewRoman" w:eastAsia="仿宋_GB2312" w:cs="TimesNewRoman"/>
          <w:sz w:val="32"/>
          <w:szCs w:val="32"/>
          <w:lang w:val="en-US" w:eastAsia="zh-CN"/>
        </w:rPr>
        <w:t>是与2023年预算相比本年退休人员增发补贴新纳入年初预算导致支出增加</w:t>
      </w:r>
      <w:r>
        <w:rPr>
          <w:rFonts w:hint="eastAsia" w:ascii="仿宋_GB2312" w:hAnsi="TimesNewRoman" w:eastAsia="仿宋_GB2312" w:cs="TimesNewRoman"/>
          <w:sz w:val="32"/>
          <w:szCs w:val="32"/>
        </w:rPr>
        <w:t>。</w:t>
      </w:r>
    </w:p>
    <w:p>
      <w:pPr>
        <w:pStyle w:val="3"/>
        <w:adjustRightInd w:val="0"/>
        <w:snapToGrid w:val="0"/>
        <w:spacing w:before="0" w:beforeAutospacing="0" w:after="0" w:afterAutospacing="0" w:line="600" w:lineRule="exact"/>
        <w:ind w:firstLine="630" w:firstLineChars="196"/>
        <w:rPr>
          <w:rFonts w:ascii="仿宋_GB2312" w:hAnsi="仿宋" w:eastAsia="仿宋_GB2312"/>
          <w:sz w:val="32"/>
          <w:szCs w:val="32"/>
        </w:rPr>
      </w:pPr>
      <w:r>
        <w:rPr>
          <w:rFonts w:hint="eastAsia" w:ascii="仿宋_GB2312" w:hAnsi="仿宋" w:eastAsia="仿宋_GB2312"/>
          <w:b/>
          <w:bCs/>
          <w:sz w:val="32"/>
          <w:szCs w:val="32"/>
          <w:lang w:val="en-US" w:eastAsia="zh-CN"/>
        </w:rPr>
        <w:t>3</w:t>
      </w:r>
      <w:r>
        <w:rPr>
          <w:rFonts w:hint="eastAsia" w:ascii="仿宋" w:hAnsi="仿宋" w:eastAsia="仿宋"/>
          <w:b/>
          <w:sz w:val="32"/>
          <w:szCs w:val="32"/>
        </w:rPr>
        <w:t>.社会保障和就业支出（类） 行政事业单位养老支出（款）  机关事业单位基本养老保险缴费支出（项）</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5.89</w:t>
      </w:r>
      <w:r>
        <w:rPr>
          <w:rFonts w:hint="eastAsia" w:ascii="仿宋_GB2312" w:hAnsi="仿宋" w:eastAsia="仿宋_GB2312"/>
          <w:sz w:val="32"/>
          <w:szCs w:val="32"/>
        </w:rPr>
        <w:t>万元，比202</w:t>
      </w:r>
      <w:r>
        <w:rPr>
          <w:rFonts w:ascii="仿宋_GB2312" w:hAnsi="仿宋" w:eastAsia="仿宋_GB2312"/>
          <w:sz w:val="32"/>
          <w:szCs w:val="32"/>
        </w:rPr>
        <w:t>3</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减少0.67</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下降10.21</w:t>
      </w:r>
      <w:r>
        <w:rPr>
          <w:rFonts w:hint="eastAsia" w:ascii="仿宋_GB2312" w:hAnsi="仿宋" w:eastAsia="仿宋_GB2312"/>
          <w:sz w:val="32"/>
          <w:szCs w:val="32"/>
        </w:rPr>
        <w:t>%，</w:t>
      </w:r>
      <w:r>
        <w:rPr>
          <w:rFonts w:hint="eastAsia" w:ascii="仿宋_GB2312" w:hAnsi="仿宋" w:eastAsia="仿宋_GB2312"/>
          <w:sz w:val="32"/>
          <w:szCs w:val="32"/>
          <w:lang w:val="en-US" w:eastAsia="zh-CN"/>
        </w:rPr>
        <w:t>减少</w:t>
      </w:r>
      <w:r>
        <w:rPr>
          <w:rFonts w:hint="eastAsia" w:ascii="仿宋_GB2312" w:hAnsi="仿宋" w:eastAsia="仿宋_GB2312"/>
          <w:sz w:val="32"/>
          <w:szCs w:val="32"/>
        </w:rPr>
        <w:t>原因主要是</w:t>
      </w:r>
      <w:r>
        <w:rPr>
          <w:rFonts w:hint="eastAsia" w:ascii="仿宋_GB2312" w:hAnsi="仿宋" w:eastAsia="仿宋_GB2312"/>
          <w:sz w:val="32"/>
          <w:szCs w:val="32"/>
          <w:lang w:val="en-US" w:eastAsia="zh-CN"/>
        </w:rPr>
        <w:t>工资总额减少</w:t>
      </w:r>
      <w:r>
        <w:rPr>
          <w:rFonts w:hint="eastAsia" w:ascii="仿宋_GB2312" w:hAnsi="仿宋" w:eastAsia="仿宋_GB2312"/>
          <w:sz w:val="32"/>
          <w:szCs w:val="32"/>
        </w:rPr>
        <w:t>，导致</w:t>
      </w:r>
      <w:r>
        <w:rPr>
          <w:rFonts w:hint="eastAsia" w:ascii="仿宋_GB2312" w:hAnsi="仿宋" w:eastAsia="仿宋_GB2312"/>
          <w:sz w:val="32"/>
          <w:szCs w:val="32"/>
          <w:lang w:val="en-US" w:eastAsia="zh-CN"/>
        </w:rPr>
        <w:t>缴</w:t>
      </w:r>
      <w:r>
        <w:rPr>
          <w:rFonts w:hint="eastAsia" w:ascii="仿宋_GB2312" w:hAnsi="仿宋" w:eastAsia="仿宋_GB2312"/>
          <w:sz w:val="32"/>
          <w:szCs w:val="32"/>
        </w:rPr>
        <w:t>费基数</w:t>
      </w:r>
      <w:r>
        <w:rPr>
          <w:rFonts w:hint="eastAsia" w:ascii="仿宋_GB2312" w:hAnsi="仿宋" w:eastAsia="仿宋_GB2312"/>
          <w:sz w:val="32"/>
          <w:szCs w:val="32"/>
          <w:lang w:val="en-US" w:eastAsia="zh-CN"/>
        </w:rPr>
        <w:t>变小</w:t>
      </w:r>
      <w:r>
        <w:rPr>
          <w:rFonts w:hint="eastAsia" w:ascii="仿宋_GB2312" w:hAnsi="仿宋" w:eastAsia="仿宋_GB2312"/>
          <w:sz w:val="32"/>
          <w:szCs w:val="32"/>
        </w:rPr>
        <w:t>，缴费</w:t>
      </w:r>
      <w:r>
        <w:rPr>
          <w:rFonts w:hint="eastAsia" w:ascii="仿宋_GB2312" w:hAnsi="仿宋" w:eastAsia="仿宋_GB2312"/>
          <w:sz w:val="32"/>
          <w:szCs w:val="32"/>
          <w:lang w:val="en-US" w:eastAsia="zh-CN"/>
        </w:rPr>
        <w:t>减少</w:t>
      </w:r>
      <w:r>
        <w:rPr>
          <w:rFonts w:hint="eastAsia" w:ascii="仿宋_GB2312" w:hAnsi="仿宋" w:eastAsia="仿宋_GB2312"/>
          <w:sz w:val="32"/>
          <w:szCs w:val="32"/>
        </w:rPr>
        <w:t>。</w:t>
      </w:r>
    </w:p>
    <w:p>
      <w:pPr>
        <w:pStyle w:val="3"/>
        <w:adjustRightInd w:val="0"/>
        <w:snapToGrid w:val="0"/>
        <w:spacing w:before="0" w:beforeAutospacing="0" w:after="0" w:afterAutospacing="0" w:line="600" w:lineRule="exact"/>
        <w:ind w:firstLine="630" w:firstLineChars="196"/>
        <w:rPr>
          <w:rFonts w:ascii="仿宋_GB2312" w:hAnsi="仿宋" w:eastAsia="仿宋_GB2312"/>
          <w:sz w:val="32"/>
          <w:szCs w:val="32"/>
        </w:rPr>
      </w:pPr>
      <w:r>
        <w:rPr>
          <w:rFonts w:hint="eastAsia" w:ascii="仿宋" w:hAnsi="仿宋" w:eastAsia="仿宋"/>
          <w:b/>
          <w:sz w:val="32"/>
          <w:szCs w:val="32"/>
          <w:lang w:val="en-US" w:eastAsia="zh-CN"/>
        </w:rPr>
        <w:t>4</w:t>
      </w:r>
      <w:r>
        <w:rPr>
          <w:rFonts w:hint="eastAsia" w:ascii="仿宋" w:hAnsi="仿宋" w:eastAsia="仿宋"/>
          <w:b/>
          <w:sz w:val="32"/>
          <w:szCs w:val="32"/>
        </w:rPr>
        <w:t>.社会保障和就业支出（类） 行政事业单位养老支出（款）机关事业单位职业年金缴费支出（项）</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2.95</w:t>
      </w:r>
      <w:r>
        <w:rPr>
          <w:rFonts w:hint="eastAsia" w:ascii="仿宋_GB2312" w:hAnsi="仿宋" w:eastAsia="仿宋_GB2312"/>
          <w:sz w:val="32"/>
          <w:szCs w:val="32"/>
        </w:rPr>
        <w:t>万元，比202</w:t>
      </w:r>
      <w:r>
        <w:rPr>
          <w:rFonts w:ascii="仿宋_GB2312" w:hAnsi="仿宋" w:eastAsia="仿宋_GB2312"/>
          <w:sz w:val="32"/>
          <w:szCs w:val="32"/>
        </w:rPr>
        <w:t>3</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减少0.33</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下降10.06</w:t>
      </w:r>
      <w:r>
        <w:rPr>
          <w:rFonts w:hint="eastAsia" w:ascii="仿宋_GB2312" w:hAnsi="仿宋" w:eastAsia="仿宋_GB2312"/>
          <w:sz w:val="32"/>
          <w:szCs w:val="32"/>
        </w:rPr>
        <w:t>%，</w:t>
      </w:r>
      <w:r>
        <w:rPr>
          <w:rFonts w:hint="eastAsia" w:ascii="仿宋_GB2312" w:hAnsi="仿宋" w:eastAsia="仿宋_GB2312"/>
          <w:sz w:val="32"/>
          <w:szCs w:val="32"/>
          <w:lang w:val="en-US" w:eastAsia="zh-CN"/>
        </w:rPr>
        <w:t>减少</w:t>
      </w:r>
      <w:r>
        <w:rPr>
          <w:rFonts w:hint="eastAsia" w:ascii="仿宋_GB2312" w:hAnsi="仿宋" w:eastAsia="仿宋_GB2312"/>
          <w:sz w:val="32"/>
          <w:szCs w:val="32"/>
        </w:rPr>
        <w:t>原因主要是</w:t>
      </w:r>
      <w:r>
        <w:rPr>
          <w:rFonts w:hint="eastAsia" w:ascii="仿宋_GB2312" w:hAnsi="仿宋" w:eastAsia="仿宋_GB2312"/>
          <w:sz w:val="32"/>
          <w:szCs w:val="32"/>
          <w:lang w:val="en-US" w:eastAsia="zh-CN"/>
        </w:rPr>
        <w:t>工资总额减少</w:t>
      </w:r>
      <w:r>
        <w:rPr>
          <w:rFonts w:hint="eastAsia" w:ascii="仿宋_GB2312" w:hAnsi="仿宋" w:eastAsia="仿宋_GB2312"/>
          <w:sz w:val="32"/>
          <w:szCs w:val="32"/>
        </w:rPr>
        <w:t>，导致</w:t>
      </w:r>
      <w:r>
        <w:rPr>
          <w:rFonts w:hint="eastAsia" w:ascii="仿宋_GB2312" w:hAnsi="仿宋" w:eastAsia="仿宋_GB2312"/>
          <w:sz w:val="32"/>
          <w:szCs w:val="32"/>
          <w:lang w:val="en-US" w:eastAsia="zh-CN"/>
        </w:rPr>
        <w:t>缴</w:t>
      </w:r>
      <w:r>
        <w:rPr>
          <w:rFonts w:hint="eastAsia" w:ascii="仿宋_GB2312" w:hAnsi="仿宋" w:eastAsia="仿宋_GB2312"/>
          <w:sz w:val="32"/>
          <w:szCs w:val="32"/>
        </w:rPr>
        <w:t>费基数</w:t>
      </w:r>
      <w:r>
        <w:rPr>
          <w:rFonts w:hint="eastAsia" w:ascii="仿宋_GB2312" w:hAnsi="仿宋" w:eastAsia="仿宋_GB2312"/>
          <w:sz w:val="32"/>
          <w:szCs w:val="32"/>
          <w:lang w:val="en-US" w:eastAsia="zh-CN"/>
        </w:rPr>
        <w:t>变小</w:t>
      </w:r>
      <w:r>
        <w:rPr>
          <w:rFonts w:hint="eastAsia" w:ascii="仿宋_GB2312" w:hAnsi="仿宋" w:eastAsia="仿宋_GB2312"/>
          <w:sz w:val="32"/>
          <w:szCs w:val="32"/>
        </w:rPr>
        <w:t>，缴费</w:t>
      </w:r>
      <w:r>
        <w:rPr>
          <w:rFonts w:hint="eastAsia" w:ascii="仿宋_GB2312" w:hAnsi="仿宋" w:eastAsia="仿宋_GB2312"/>
          <w:sz w:val="32"/>
          <w:szCs w:val="32"/>
          <w:lang w:val="en-US" w:eastAsia="zh-CN"/>
        </w:rPr>
        <w:t>减少</w:t>
      </w:r>
      <w:r>
        <w:rPr>
          <w:rFonts w:hint="eastAsia" w:ascii="仿宋_GB2312" w:hAnsi="仿宋" w:eastAsia="仿宋_GB2312"/>
          <w:sz w:val="32"/>
          <w:szCs w:val="32"/>
        </w:rPr>
        <w:t>。</w:t>
      </w:r>
    </w:p>
    <w:p>
      <w:pPr>
        <w:adjustRightInd w:val="0"/>
        <w:snapToGrid w:val="0"/>
        <w:spacing w:line="600" w:lineRule="exact"/>
        <w:ind w:firstLine="643" w:firstLineChars="200"/>
        <w:rPr>
          <w:rFonts w:ascii="仿宋_GB2312" w:hAnsi="仿宋" w:eastAsia="仿宋_GB2312"/>
          <w:sz w:val="32"/>
          <w:szCs w:val="32"/>
        </w:rPr>
      </w:pPr>
      <w:r>
        <w:rPr>
          <w:rFonts w:hint="eastAsia" w:ascii="仿宋" w:hAnsi="仿宋" w:eastAsia="仿宋"/>
          <w:b/>
          <w:sz w:val="32"/>
          <w:szCs w:val="32"/>
          <w:lang w:val="en-US" w:eastAsia="zh-CN"/>
        </w:rPr>
        <w:t>5</w:t>
      </w:r>
      <w:r>
        <w:rPr>
          <w:rFonts w:hint="eastAsia" w:ascii="仿宋" w:hAnsi="仿宋" w:eastAsia="仿宋"/>
          <w:b/>
          <w:sz w:val="32"/>
          <w:szCs w:val="32"/>
        </w:rPr>
        <w:t>.社会保障和就业支出（类） 其他社会保障和就业支出（款）其他社会保障和就业支出（项）</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年预算</w:t>
      </w:r>
      <w:r>
        <w:rPr>
          <w:rFonts w:ascii="仿宋_GB2312" w:hAnsi="仿宋" w:eastAsia="仿宋_GB2312"/>
          <w:sz w:val="32"/>
          <w:szCs w:val="32"/>
        </w:rPr>
        <w:t>0.06</w:t>
      </w:r>
      <w:r>
        <w:rPr>
          <w:rFonts w:hint="eastAsia" w:ascii="仿宋_GB2312" w:hAnsi="仿宋" w:eastAsia="仿宋_GB2312"/>
          <w:sz w:val="32"/>
          <w:szCs w:val="32"/>
        </w:rPr>
        <w:t>万元，比202</w:t>
      </w:r>
      <w:r>
        <w:rPr>
          <w:rFonts w:ascii="仿宋_GB2312" w:hAnsi="仿宋" w:eastAsia="仿宋_GB2312"/>
          <w:sz w:val="32"/>
          <w:szCs w:val="32"/>
        </w:rPr>
        <w:t>3</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增加0</w:t>
      </w:r>
      <w:r>
        <w:rPr>
          <w:rFonts w:hint="eastAsia" w:ascii="仿宋_GB2312" w:hAnsi="仿宋" w:eastAsia="仿宋_GB2312"/>
          <w:sz w:val="32"/>
          <w:szCs w:val="32"/>
        </w:rPr>
        <w:t>万元，增长</w:t>
      </w:r>
      <w:r>
        <w:rPr>
          <w:rFonts w:hint="eastAsia" w:ascii="仿宋_GB2312" w:hAnsi="仿宋" w:eastAsia="仿宋_GB2312"/>
          <w:sz w:val="32"/>
          <w:szCs w:val="32"/>
          <w:lang w:val="en-US" w:eastAsia="zh-CN"/>
        </w:rPr>
        <w:t>0</w:t>
      </w:r>
      <w:r>
        <w:rPr>
          <w:rFonts w:hint="eastAsia" w:ascii="仿宋_GB2312" w:hAnsi="仿宋" w:eastAsia="仿宋_GB2312"/>
          <w:sz w:val="32"/>
          <w:szCs w:val="32"/>
        </w:rPr>
        <w:t>%。</w:t>
      </w:r>
    </w:p>
    <w:p>
      <w:pPr>
        <w:adjustRightInd w:val="0"/>
        <w:snapToGrid w:val="0"/>
        <w:spacing w:line="600" w:lineRule="exact"/>
        <w:ind w:firstLine="643" w:firstLineChars="200"/>
        <w:rPr>
          <w:rFonts w:hint="eastAsia" w:ascii="仿宋_GB2312" w:hAnsi="仿宋" w:eastAsia="仿宋_GB2312"/>
          <w:sz w:val="32"/>
          <w:szCs w:val="32"/>
        </w:rPr>
      </w:pPr>
      <w:r>
        <w:rPr>
          <w:rFonts w:hint="eastAsia" w:ascii="仿宋" w:hAnsi="仿宋" w:eastAsia="仿宋"/>
          <w:b/>
          <w:sz w:val="32"/>
          <w:szCs w:val="32"/>
          <w:lang w:val="en-US" w:eastAsia="zh-CN"/>
        </w:rPr>
        <w:t>6</w:t>
      </w:r>
      <w:r>
        <w:rPr>
          <w:rFonts w:hint="eastAsia" w:ascii="仿宋" w:hAnsi="仿宋" w:eastAsia="仿宋"/>
          <w:b/>
          <w:sz w:val="32"/>
          <w:szCs w:val="32"/>
        </w:rPr>
        <w:t>.卫生健康支出（类）行政</w:t>
      </w:r>
      <w:r>
        <w:rPr>
          <w:rFonts w:hint="eastAsia" w:ascii="仿宋" w:hAnsi="仿宋" w:eastAsia="仿宋"/>
          <w:b/>
          <w:sz w:val="32"/>
          <w:szCs w:val="32"/>
          <w:lang w:val="en-US" w:eastAsia="zh-CN"/>
        </w:rPr>
        <w:t>事业</w:t>
      </w:r>
      <w:r>
        <w:rPr>
          <w:rFonts w:hint="eastAsia" w:ascii="仿宋" w:hAnsi="仿宋" w:eastAsia="仿宋"/>
          <w:b/>
          <w:sz w:val="32"/>
          <w:szCs w:val="32"/>
        </w:rPr>
        <w:t>单位医疗（款）行政单位医疗（项）</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1.95</w:t>
      </w:r>
      <w:r>
        <w:rPr>
          <w:rFonts w:hint="eastAsia" w:ascii="仿宋_GB2312" w:hAnsi="仿宋" w:eastAsia="仿宋_GB2312"/>
          <w:sz w:val="32"/>
          <w:szCs w:val="32"/>
        </w:rPr>
        <w:t>万元，比202</w:t>
      </w:r>
      <w:r>
        <w:rPr>
          <w:rFonts w:ascii="仿宋_GB2312" w:hAnsi="仿宋" w:eastAsia="仿宋_GB2312"/>
          <w:sz w:val="32"/>
          <w:szCs w:val="32"/>
        </w:rPr>
        <w:t>3</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减少</w:t>
      </w:r>
      <w:r>
        <w:rPr>
          <w:rFonts w:ascii="仿宋_GB2312" w:hAnsi="仿宋" w:eastAsia="仿宋_GB2312"/>
          <w:sz w:val="32"/>
          <w:szCs w:val="32"/>
        </w:rPr>
        <w:t>0.</w:t>
      </w:r>
      <w:r>
        <w:rPr>
          <w:rFonts w:hint="eastAsia" w:ascii="仿宋_GB2312" w:hAnsi="仿宋" w:eastAsia="仿宋_GB2312"/>
          <w:sz w:val="32"/>
          <w:szCs w:val="32"/>
          <w:lang w:val="en-US" w:eastAsia="zh-CN"/>
        </w:rPr>
        <w:t>27</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下降12.16</w:t>
      </w:r>
      <w:r>
        <w:rPr>
          <w:rFonts w:hint="eastAsia" w:ascii="仿宋_GB2312" w:hAnsi="仿宋" w:eastAsia="仿宋_GB2312"/>
          <w:sz w:val="32"/>
          <w:szCs w:val="32"/>
        </w:rPr>
        <w:t>%，</w:t>
      </w:r>
      <w:r>
        <w:rPr>
          <w:rFonts w:hint="eastAsia" w:ascii="仿宋_GB2312" w:hAnsi="仿宋" w:eastAsia="仿宋_GB2312"/>
          <w:sz w:val="32"/>
          <w:szCs w:val="32"/>
          <w:lang w:val="en-US" w:eastAsia="zh-CN"/>
        </w:rPr>
        <w:t>减少</w:t>
      </w:r>
      <w:r>
        <w:rPr>
          <w:rFonts w:hint="eastAsia" w:ascii="仿宋_GB2312" w:hAnsi="仿宋" w:eastAsia="仿宋_GB2312"/>
          <w:sz w:val="32"/>
          <w:szCs w:val="32"/>
        </w:rPr>
        <w:t>原因主要是</w:t>
      </w:r>
      <w:r>
        <w:rPr>
          <w:rFonts w:hint="eastAsia" w:ascii="仿宋_GB2312" w:hAnsi="仿宋" w:eastAsia="仿宋_GB2312"/>
          <w:sz w:val="32"/>
          <w:szCs w:val="32"/>
          <w:lang w:val="en-US" w:eastAsia="zh-CN"/>
        </w:rPr>
        <w:t>工资总额减少</w:t>
      </w:r>
      <w:r>
        <w:rPr>
          <w:rFonts w:hint="eastAsia" w:ascii="仿宋_GB2312" w:hAnsi="仿宋" w:eastAsia="仿宋_GB2312"/>
          <w:sz w:val="32"/>
          <w:szCs w:val="32"/>
        </w:rPr>
        <w:t>，导致</w:t>
      </w:r>
      <w:r>
        <w:rPr>
          <w:rFonts w:hint="eastAsia" w:ascii="仿宋_GB2312" w:hAnsi="仿宋" w:eastAsia="仿宋_GB2312"/>
          <w:sz w:val="32"/>
          <w:szCs w:val="32"/>
          <w:lang w:val="en-US" w:eastAsia="zh-CN"/>
        </w:rPr>
        <w:t>缴</w:t>
      </w:r>
      <w:r>
        <w:rPr>
          <w:rFonts w:hint="eastAsia" w:ascii="仿宋_GB2312" w:hAnsi="仿宋" w:eastAsia="仿宋_GB2312"/>
          <w:sz w:val="32"/>
          <w:szCs w:val="32"/>
        </w:rPr>
        <w:t>费基数</w:t>
      </w:r>
      <w:r>
        <w:rPr>
          <w:rFonts w:hint="eastAsia" w:ascii="仿宋_GB2312" w:hAnsi="仿宋" w:eastAsia="仿宋_GB2312"/>
          <w:sz w:val="32"/>
          <w:szCs w:val="32"/>
          <w:lang w:val="en-US" w:eastAsia="zh-CN"/>
        </w:rPr>
        <w:t>变小</w:t>
      </w:r>
      <w:r>
        <w:rPr>
          <w:rFonts w:hint="eastAsia" w:ascii="仿宋_GB2312" w:hAnsi="仿宋" w:eastAsia="仿宋_GB2312"/>
          <w:sz w:val="32"/>
          <w:szCs w:val="32"/>
        </w:rPr>
        <w:t>，缴费</w:t>
      </w:r>
      <w:r>
        <w:rPr>
          <w:rFonts w:hint="eastAsia" w:ascii="仿宋_GB2312" w:hAnsi="仿宋" w:eastAsia="仿宋_GB2312"/>
          <w:sz w:val="32"/>
          <w:szCs w:val="32"/>
          <w:lang w:val="en-US" w:eastAsia="zh-CN"/>
        </w:rPr>
        <w:t>减少</w:t>
      </w:r>
      <w:r>
        <w:rPr>
          <w:rFonts w:hint="eastAsia" w:ascii="仿宋_GB2312" w:hAnsi="仿宋" w:eastAsia="仿宋_GB2312"/>
          <w:sz w:val="32"/>
          <w:szCs w:val="32"/>
        </w:rPr>
        <w:t>。</w:t>
      </w:r>
    </w:p>
    <w:p>
      <w:pPr>
        <w:adjustRightInd w:val="0"/>
        <w:snapToGrid w:val="0"/>
        <w:spacing w:line="600" w:lineRule="exact"/>
        <w:ind w:firstLine="643" w:firstLineChars="200"/>
        <w:rPr>
          <w:rFonts w:hint="eastAsia" w:ascii="仿宋_GB2312" w:hAnsi="仿宋" w:eastAsia="仿宋_GB2312"/>
          <w:sz w:val="32"/>
          <w:szCs w:val="32"/>
        </w:rPr>
      </w:pPr>
      <w:r>
        <w:rPr>
          <w:rFonts w:hint="eastAsia" w:ascii="仿宋" w:hAnsi="仿宋" w:eastAsia="仿宋"/>
          <w:b/>
          <w:sz w:val="32"/>
          <w:szCs w:val="32"/>
          <w:lang w:val="en-US" w:eastAsia="zh-CN"/>
        </w:rPr>
        <w:t>7</w:t>
      </w:r>
      <w:r>
        <w:rPr>
          <w:rFonts w:hint="eastAsia" w:ascii="仿宋" w:hAnsi="仿宋" w:eastAsia="仿宋"/>
          <w:b/>
          <w:sz w:val="32"/>
          <w:szCs w:val="32"/>
        </w:rPr>
        <w:t>.卫生健康支出（类）行政单位医疗（款）公务员医疗补助（项）</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年预算</w:t>
      </w:r>
      <w:r>
        <w:rPr>
          <w:rFonts w:ascii="仿宋_GB2312" w:hAnsi="仿宋" w:eastAsia="仿宋_GB2312"/>
          <w:sz w:val="32"/>
          <w:szCs w:val="32"/>
        </w:rPr>
        <w:t>1.</w:t>
      </w:r>
      <w:r>
        <w:rPr>
          <w:rFonts w:hint="eastAsia" w:ascii="仿宋_GB2312" w:hAnsi="仿宋" w:eastAsia="仿宋_GB2312"/>
          <w:sz w:val="32"/>
          <w:szCs w:val="32"/>
          <w:lang w:val="en-US" w:eastAsia="zh-CN"/>
        </w:rPr>
        <w:t>94</w:t>
      </w:r>
      <w:r>
        <w:rPr>
          <w:rFonts w:hint="eastAsia" w:ascii="仿宋_GB2312" w:hAnsi="仿宋" w:eastAsia="仿宋_GB2312"/>
          <w:sz w:val="32"/>
          <w:szCs w:val="32"/>
        </w:rPr>
        <w:t>万元，比202</w:t>
      </w:r>
      <w:r>
        <w:rPr>
          <w:rFonts w:ascii="仿宋_GB2312" w:hAnsi="仿宋" w:eastAsia="仿宋_GB2312"/>
          <w:sz w:val="32"/>
          <w:szCs w:val="32"/>
        </w:rPr>
        <w:t>3</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增加</w:t>
      </w:r>
      <w:r>
        <w:rPr>
          <w:rFonts w:hint="eastAsia" w:ascii="仿宋_GB2312" w:hAnsi="仿宋" w:eastAsia="仿宋_GB2312"/>
          <w:sz w:val="32"/>
          <w:szCs w:val="32"/>
        </w:rPr>
        <w:t>0.1</w:t>
      </w:r>
      <w:r>
        <w:rPr>
          <w:rFonts w:hint="eastAsia" w:ascii="仿宋_GB2312" w:hAnsi="仿宋" w:eastAsia="仿宋_GB2312"/>
          <w:sz w:val="32"/>
          <w:szCs w:val="32"/>
          <w:lang w:val="en-US" w:eastAsia="zh-CN"/>
        </w:rPr>
        <w:t>4</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增长7.78</w:t>
      </w:r>
      <w:r>
        <w:rPr>
          <w:rFonts w:hint="eastAsia" w:ascii="仿宋_GB2312" w:hAnsi="仿宋" w:eastAsia="仿宋_GB2312"/>
          <w:sz w:val="32"/>
          <w:szCs w:val="32"/>
        </w:rPr>
        <w:t>%，</w:t>
      </w:r>
      <w:r>
        <w:rPr>
          <w:rFonts w:hint="eastAsia" w:ascii="仿宋_GB2312" w:hAnsi="仿宋" w:eastAsia="仿宋_GB2312"/>
          <w:sz w:val="32"/>
          <w:szCs w:val="32"/>
          <w:lang w:val="en-US" w:eastAsia="zh-CN"/>
        </w:rPr>
        <w:t>增加</w:t>
      </w:r>
      <w:r>
        <w:rPr>
          <w:rFonts w:hint="eastAsia" w:ascii="仿宋_GB2312" w:hAnsi="仿宋" w:eastAsia="仿宋_GB2312"/>
          <w:sz w:val="32"/>
          <w:szCs w:val="32"/>
        </w:rPr>
        <w:t>原因主要是</w:t>
      </w:r>
      <w:r>
        <w:rPr>
          <w:rFonts w:hint="eastAsia" w:ascii="仿宋_GB2312" w:hAnsi="仿宋" w:eastAsia="仿宋_GB2312"/>
          <w:sz w:val="32"/>
          <w:szCs w:val="32"/>
          <w:lang w:val="en-US" w:eastAsia="zh-CN"/>
        </w:rPr>
        <w:t>本年度</w:t>
      </w:r>
      <w:r>
        <w:rPr>
          <w:rFonts w:hint="eastAsia" w:ascii="仿宋_GB2312" w:hAnsi="仿宋" w:eastAsia="仿宋_GB2312"/>
          <w:sz w:val="32"/>
          <w:szCs w:val="32"/>
        </w:rPr>
        <w:t>公务员医疗补助</w:t>
      </w:r>
      <w:r>
        <w:rPr>
          <w:rFonts w:hint="eastAsia" w:ascii="仿宋_GB2312" w:hAnsi="仿宋" w:eastAsia="仿宋_GB2312"/>
          <w:sz w:val="32"/>
          <w:szCs w:val="32"/>
          <w:lang w:val="en-US" w:eastAsia="zh-CN"/>
        </w:rPr>
        <w:t>缴费增加</w:t>
      </w:r>
      <w:r>
        <w:rPr>
          <w:rFonts w:hint="eastAsia" w:ascii="仿宋_GB2312" w:hAnsi="仿宋" w:eastAsia="仿宋_GB2312"/>
          <w:sz w:val="32"/>
          <w:szCs w:val="32"/>
        </w:rPr>
        <w:t>。</w:t>
      </w:r>
    </w:p>
    <w:p>
      <w:pPr>
        <w:adjustRightInd w:val="0"/>
        <w:snapToGrid w:val="0"/>
        <w:spacing w:line="600" w:lineRule="exact"/>
        <w:ind w:firstLine="643" w:firstLineChars="200"/>
        <w:rPr>
          <w:rFonts w:ascii="仿宋_GB2312" w:hAnsi="仿宋" w:eastAsia="仿宋_GB2312"/>
          <w:sz w:val="32"/>
          <w:szCs w:val="32"/>
        </w:rPr>
      </w:pPr>
      <w:r>
        <w:rPr>
          <w:rFonts w:hint="eastAsia" w:ascii="仿宋_GB2312" w:hAnsi="仿宋" w:eastAsia="仿宋_GB2312"/>
          <w:b/>
          <w:sz w:val="32"/>
          <w:szCs w:val="32"/>
          <w:lang w:val="en-US" w:eastAsia="zh-CN"/>
        </w:rPr>
        <w:t>8</w:t>
      </w:r>
      <w:r>
        <w:rPr>
          <w:rFonts w:hint="eastAsia" w:ascii="仿宋_GB2312" w:hAnsi="仿宋" w:eastAsia="仿宋_GB2312"/>
          <w:b/>
          <w:sz w:val="32"/>
          <w:szCs w:val="32"/>
        </w:rPr>
        <w:t>.住房保障支出（类）住房改革支出（款）住房公积金（项）</w:t>
      </w:r>
      <w:r>
        <w:rPr>
          <w:rFonts w:hint="eastAsia" w:ascii="仿宋_GB2312" w:hAnsi="仿宋" w:eastAsia="仿宋_GB2312"/>
          <w:sz w:val="32"/>
          <w:szCs w:val="32"/>
        </w:rPr>
        <w:t>202</w:t>
      </w:r>
      <w:r>
        <w:rPr>
          <w:rFonts w:hint="eastAsia" w:ascii="仿宋_GB2312" w:hAnsi="仿宋" w:eastAsia="仿宋_GB2312"/>
          <w:sz w:val="32"/>
          <w:szCs w:val="32"/>
          <w:lang w:val="en-US" w:eastAsia="zh-CN"/>
        </w:rPr>
        <w:t>4</w:t>
      </w:r>
      <w:r>
        <w:rPr>
          <w:rFonts w:hint="eastAsia" w:ascii="仿宋_GB2312" w:hAnsi="仿宋" w:eastAsia="仿宋_GB2312"/>
          <w:sz w:val="32"/>
          <w:szCs w:val="32"/>
        </w:rPr>
        <w:t>年预算</w:t>
      </w:r>
      <w:r>
        <w:rPr>
          <w:rFonts w:ascii="仿宋_GB2312" w:hAnsi="仿宋" w:eastAsia="仿宋_GB2312"/>
          <w:sz w:val="32"/>
          <w:szCs w:val="32"/>
        </w:rPr>
        <w:t>4.</w:t>
      </w:r>
      <w:r>
        <w:rPr>
          <w:rFonts w:hint="eastAsia" w:ascii="仿宋_GB2312" w:hAnsi="仿宋" w:eastAsia="仿宋_GB2312"/>
          <w:sz w:val="32"/>
          <w:szCs w:val="32"/>
          <w:lang w:val="en-US" w:eastAsia="zh-CN"/>
        </w:rPr>
        <w:t>42</w:t>
      </w:r>
      <w:r>
        <w:rPr>
          <w:rFonts w:hint="eastAsia" w:ascii="仿宋_GB2312" w:hAnsi="仿宋" w:eastAsia="仿宋_GB2312"/>
          <w:sz w:val="32"/>
          <w:szCs w:val="32"/>
        </w:rPr>
        <w:t>万元，比202</w:t>
      </w:r>
      <w:r>
        <w:rPr>
          <w:rFonts w:ascii="仿宋_GB2312" w:hAnsi="仿宋" w:eastAsia="仿宋_GB2312"/>
          <w:sz w:val="32"/>
          <w:szCs w:val="32"/>
        </w:rPr>
        <w:t>3</w:t>
      </w:r>
      <w:r>
        <w:rPr>
          <w:rFonts w:hint="eastAsia" w:ascii="仿宋_GB2312" w:hAnsi="仿宋" w:eastAsia="仿宋_GB2312"/>
          <w:sz w:val="32"/>
          <w:szCs w:val="32"/>
        </w:rPr>
        <w:t>年预算</w:t>
      </w:r>
      <w:r>
        <w:rPr>
          <w:rFonts w:hint="eastAsia" w:ascii="仿宋_GB2312" w:hAnsi="仿宋" w:eastAsia="仿宋_GB2312"/>
          <w:sz w:val="32"/>
          <w:szCs w:val="32"/>
          <w:lang w:val="en-US" w:eastAsia="zh-CN"/>
        </w:rPr>
        <w:t>减少</w:t>
      </w:r>
      <w:r>
        <w:rPr>
          <w:rFonts w:ascii="仿宋_GB2312" w:hAnsi="仿宋" w:eastAsia="仿宋_GB2312"/>
          <w:sz w:val="32"/>
          <w:szCs w:val="32"/>
        </w:rPr>
        <w:t>0.</w:t>
      </w:r>
      <w:r>
        <w:rPr>
          <w:rFonts w:hint="eastAsia" w:ascii="仿宋_GB2312" w:hAnsi="仿宋" w:eastAsia="仿宋_GB2312"/>
          <w:sz w:val="32"/>
          <w:szCs w:val="32"/>
          <w:lang w:val="en-US" w:eastAsia="zh-CN"/>
        </w:rPr>
        <w:t>5</w:t>
      </w:r>
      <w:r>
        <w:rPr>
          <w:rFonts w:hint="eastAsia" w:ascii="仿宋_GB2312" w:hAnsi="仿宋" w:eastAsia="仿宋_GB2312"/>
          <w:sz w:val="32"/>
          <w:szCs w:val="32"/>
        </w:rPr>
        <w:t>万元，</w:t>
      </w:r>
      <w:r>
        <w:rPr>
          <w:rFonts w:hint="eastAsia" w:ascii="仿宋_GB2312" w:hAnsi="仿宋" w:eastAsia="仿宋_GB2312"/>
          <w:sz w:val="32"/>
          <w:szCs w:val="32"/>
          <w:lang w:val="en-US" w:eastAsia="zh-CN"/>
        </w:rPr>
        <w:t>下降10.16</w:t>
      </w:r>
      <w:r>
        <w:rPr>
          <w:rFonts w:hint="eastAsia" w:ascii="仿宋_GB2312" w:hAnsi="仿宋" w:eastAsia="仿宋_GB2312"/>
          <w:sz w:val="32"/>
          <w:szCs w:val="32"/>
        </w:rPr>
        <w:t>%，</w:t>
      </w:r>
      <w:r>
        <w:rPr>
          <w:rFonts w:hint="eastAsia" w:ascii="仿宋_GB2312" w:hAnsi="仿宋" w:eastAsia="仿宋_GB2312"/>
          <w:sz w:val="32"/>
          <w:szCs w:val="32"/>
          <w:lang w:val="en-US" w:eastAsia="zh-CN"/>
        </w:rPr>
        <w:t>减少</w:t>
      </w:r>
      <w:r>
        <w:rPr>
          <w:rFonts w:hint="eastAsia" w:ascii="仿宋_GB2312" w:hAnsi="仿宋" w:eastAsia="仿宋_GB2312"/>
          <w:sz w:val="32"/>
          <w:szCs w:val="32"/>
        </w:rPr>
        <w:t>原因主要是</w:t>
      </w:r>
      <w:r>
        <w:rPr>
          <w:rFonts w:hint="eastAsia" w:ascii="仿宋_GB2312" w:hAnsi="仿宋" w:eastAsia="仿宋_GB2312"/>
          <w:sz w:val="32"/>
          <w:szCs w:val="32"/>
          <w:lang w:val="en-US" w:eastAsia="zh-CN"/>
        </w:rPr>
        <w:t>工资总额减少</w:t>
      </w:r>
      <w:r>
        <w:rPr>
          <w:rFonts w:hint="eastAsia" w:ascii="仿宋_GB2312" w:hAnsi="仿宋" w:eastAsia="仿宋_GB2312"/>
          <w:sz w:val="32"/>
          <w:szCs w:val="32"/>
        </w:rPr>
        <w:t>，导致</w:t>
      </w:r>
      <w:r>
        <w:rPr>
          <w:rFonts w:hint="eastAsia" w:ascii="仿宋_GB2312" w:hAnsi="仿宋" w:eastAsia="仿宋_GB2312"/>
          <w:sz w:val="32"/>
          <w:szCs w:val="32"/>
          <w:lang w:val="en-US" w:eastAsia="zh-CN"/>
        </w:rPr>
        <w:t>缴</w:t>
      </w:r>
      <w:r>
        <w:rPr>
          <w:rFonts w:hint="eastAsia" w:ascii="仿宋_GB2312" w:hAnsi="仿宋" w:eastAsia="仿宋_GB2312"/>
          <w:sz w:val="32"/>
          <w:szCs w:val="32"/>
        </w:rPr>
        <w:t>费基数</w:t>
      </w:r>
      <w:r>
        <w:rPr>
          <w:rFonts w:hint="eastAsia" w:ascii="仿宋_GB2312" w:hAnsi="仿宋" w:eastAsia="仿宋_GB2312"/>
          <w:sz w:val="32"/>
          <w:szCs w:val="32"/>
          <w:lang w:val="en-US" w:eastAsia="zh-CN"/>
        </w:rPr>
        <w:t>变小</w:t>
      </w:r>
      <w:r>
        <w:rPr>
          <w:rFonts w:hint="eastAsia" w:ascii="仿宋_GB2312" w:hAnsi="仿宋" w:eastAsia="仿宋_GB2312"/>
          <w:sz w:val="32"/>
          <w:szCs w:val="32"/>
        </w:rPr>
        <w:t>，缴费</w:t>
      </w:r>
      <w:r>
        <w:rPr>
          <w:rFonts w:hint="eastAsia" w:ascii="仿宋_GB2312" w:hAnsi="仿宋" w:eastAsia="仿宋_GB2312"/>
          <w:sz w:val="32"/>
          <w:szCs w:val="32"/>
          <w:lang w:val="en-US" w:eastAsia="zh-CN"/>
        </w:rPr>
        <w:t>减少</w:t>
      </w:r>
      <w:r>
        <w:rPr>
          <w:rFonts w:hint="eastAsia" w:ascii="仿宋_GB2312" w:hAnsi="仿宋" w:eastAsia="仿宋_GB2312"/>
          <w:sz w:val="32"/>
          <w:szCs w:val="32"/>
        </w:rPr>
        <w:t>。</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六、关于2024年一般公共预算基本支出表的说明</w:t>
      </w:r>
    </w:p>
    <w:p>
      <w:pPr>
        <w:topLinePunct/>
        <w:spacing w:line="58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2024年一般公共预算基本支出</w:t>
      </w:r>
      <w:r>
        <w:rPr>
          <w:rFonts w:hint="eastAsia" w:ascii="仿宋_GB2312" w:hAnsi="TimesNewRoman" w:eastAsia="仿宋_GB2312" w:cs="TimesNewRoman"/>
          <w:sz w:val="32"/>
          <w:szCs w:val="32"/>
          <w:lang w:val="en-US" w:eastAsia="zh-CN"/>
        </w:rPr>
        <w:t>79.14</w:t>
      </w:r>
      <w:r>
        <w:rPr>
          <w:rFonts w:hint="eastAsia" w:ascii="仿宋_GB2312" w:hAnsi="TimesNewRoman" w:eastAsia="仿宋_GB2312" w:cs="TimesNewRoman"/>
          <w:sz w:val="32"/>
          <w:szCs w:val="32"/>
        </w:rPr>
        <w:t>万元，其中，人员经费</w:t>
      </w:r>
      <w:r>
        <w:rPr>
          <w:rFonts w:hint="eastAsia" w:ascii="仿宋_GB2312" w:hAnsi="TimesNewRoman" w:eastAsia="仿宋_GB2312" w:cs="TimesNewRoman"/>
          <w:sz w:val="32"/>
          <w:szCs w:val="32"/>
          <w:lang w:val="en-US" w:eastAsia="zh-CN"/>
        </w:rPr>
        <w:t>70.67</w:t>
      </w:r>
      <w:r>
        <w:rPr>
          <w:rFonts w:hint="eastAsia" w:ascii="仿宋_GB2312" w:hAnsi="TimesNewRoman" w:eastAsia="仿宋_GB2312" w:cs="TimesNewRoman"/>
          <w:sz w:val="32"/>
          <w:szCs w:val="32"/>
        </w:rPr>
        <w:t>万元，公用经费</w:t>
      </w:r>
      <w:r>
        <w:rPr>
          <w:rFonts w:hint="eastAsia" w:ascii="仿宋_GB2312" w:hAnsi="TimesNewRoman" w:eastAsia="仿宋_GB2312" w:cs="TimesNewRoman"/>
          <w:sz w:val="32"/>
          <w:szCs w:val="32"/>
          <w:lang w:val="en-US" w:eastAsia="zh-CN"/>
        </w:rPr>
        <w:t>8.47</w:t>
      </w:r>
      <w:r>
        <w:rPr>
          <w:rFonts w:hint="eastAsia" w:ascii="仿宋_GB2312" w:hAnsi="TimesNewRoman" w:eastAsia="仿宋_GB2312" w:cs="TimesNewRoman"/>
          <w:sz w:val="32"/>
          <w:szCs w:val="32"/>
        </w:rPr>
        <w:t>万元。</w:t>
      </w:r>
    </w:p>
    <w:p>
      <w:pPr>
        <w:topLinePunct/>
        <w:spacing w:line="580" w:lineRule="exact"/>
        <w:ind w:firstLine="640" w:firstLineChars="200"/>
        <w:rPr>
          <w:rFonts w:hint="eastAsia" w:ascii="仿宋_GB2312" w:hAnsi="TimesNewRoman" w:eastAsia="仿宋_GB2312" w:cs="TimesNewRoman"/>
          <w:sz w:val="32"/>
          <w:szCs w:val="32"/>
          <w:u w:val="none"/>
        </w:rPr>
      </w:pPr>
      <w:r>
        <w:rPr>
          <w:rFonts w:hint="eastAsia" w:ascii="仿宋_GB2312" w:hAnsi="TimesNewRoman" w:eastAsia="仿宋_GB2312" w:cs="TimesNewRoman"/>
          <w:sz w:val="32"/>
          <w:szCs w:val="32"/>
        </w:rPr>
        <w:t>（一）人员经费</w:t>
      </w:r>
      <w:r>
        <w:rPr>
          <w:rFonts w:hint="eastAsia" w:ascii="仿宋_GB2312" w:hAnsi="TimesNewRoman" w:eastAsia="仿宋_GB2312" w:cs="TimesNewRoman"/>
          <w:sz w:val="32"/>
          <w:szCs w:val="32"/>
          <w:lang w:val="en-US" w:eastAsia="zh-CN"/>
        </w:rPr>
        <w:t>70.67</w:t>
      </w:r>
      <w:r>
        <w:rPr>
          <w:rFonts w:hint="eastAsia" w:ascii="仿宋_GB2312" w:hAnsi="TimesNewRoman" w:eastAsia="仿宋_GB2312" w:cs="TimesNewRoman"/>
          <w:sz w:val="32"/>
          <w:szCs w:val="32"/>
        </w:rPr>
        <w:t>万元，主要包</w:t>
      </w:r>
      <w:r>
        <w:rPr>
          <w:rFonts w:hint="eastAsia" w:ascii="仿宋_GB2312" w:hAnsi="TimesNewRoman" w:eastAsia="仿宋_GB2312" w:cs="TimesNewRoman"/>
          <w:sz w:val="32"/>
          <w:szCs w:val="32"/>
          <w:u w:val="none"/>
        </w:rPr>
        <w:t>括:基本工资、津贴补贴、奖金、机关事业单位基本养老保险费、职业年金缴费、职工基本医疗保险缴费、公务员医疗补助缴费、其他社会保障缴费、住房公积金、其他工资福利支出、退休费</w:t>
      </w:r>
      <w:r>
        <w:rPr>
          <w:rFonts w:hint="eastAsia" w:ascii="仿宋_GB2312" w:hAnsi="TimesNewRoman" w:eastAsia="仿宋_GB2312" w:cs="TimesNewRoman"/>
          <w:sz w:val="32"/>
          <w:szCs w:val="32"/>
          <w:u w:val="none"/>
          <w:lang w:val="en-US" w:eastAsia="zh-CN"/>
        </w:rPr>
        <w:t>等</w:t>
      </w:r>
      <w:r>
        <w:rPr>
          <w:rFonts w:hint="eastAsia" w:ascii="仿宋_GB2312" w:hAnsi="TimesNewRoman" w:eastAsia="仿宋_GB2312" w:cs="TimesNewRoman"/>
          <w:sz w:val="32"/>
          <w:szCs w:val="32"/>
          <w:u w:val="none"/>
        </w:rPr>
        <w:t>。</w:t>
      </w:r>
    </w:p>
    <w:p>
      <w:pPr>
        <w:topLinePunct/>
        <w:spacing w:line="580" w:lineRule="exact"/>
        <w:ind w:firstLine="640" w:firstLineChars="200"/>
        <w:rPr>
          <w:rFonts w:hint="eastAsia" w:ascii="仿宋_GB2312" w:hAnsi="TimesNewRoman" w:eastAsia="仿宋_GB2312" w:cs="TimesNewRoman"/>
          <w:sz w:val="32"/>
          <w:szCs w:val="32"/>
          <w:u w:val="none"/>
        </w:rPr>
      </w:pPr>
      <w:r>
        <w:rPr>
          <w:rFonts w:hint="eastAsia" w:ascii="仿宋_GB2312" w:hAnsi="TimesNewRoman" w:eastAsia="仿宋_GB2312" w:cs="TimesNewRoman"/>
          <w:sz w:val="32"/>
          <w:szCs w:val="32"/>
          <w:u w:val="none"/>
        </w:rPr>
        <w:t>（二）公用经费</w:t>
      </w:r>
      <w:r>
        <w:rPr>
          <w:rFonts w:hint="eastAsia" w:ascii="仿宋_GB2312" w:hAnsi="TimesNewRoman" w:eastAsia="仿宋_GB2312" w:cs="TimesNewRoman"/>
          <w:sz w:val="32"/>
          <w:szCs w:val="32"/>
          <w:u w:val="none"/>
          <w:lang w:val="en-US" w:eastAsia="zh-CN"/>
        </w:rPr>
        <w:t>8.47</w:t>
      </w:r>
      <w:r>
        <w:rPr>
          <w:rFonts w:hint="eastAsia" w:ascii="仿宋_GB2312" w:hAnsi="TimesNewRoman" w:eastAsia="仿宋_GB2312" w:cs="TimesNewRoman"/>
          <w:sz w:val="32"/>
          <w:szCs w:val="32"/>
          <w:u w:val="none"/>
        </w:rPr>
        <w:t>万元，主要包括：办公费、印刷费、会议费、公务接待费、工会经费、其他交通费用、办公设备购置等。</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七、关于2024年政府性基金预算支出表的说明</w:t>
      </w:r>
    </w:p>
    <w:p>
      <w:pPr>
        <w:pStyle w:val="3"/>
        <w:topLinePunct/>
        <w:adjustRightInd w:val="0"/>
        <w:snapToGrid w:val="0"/>
        <w:spacing w:beforeAutospacing="0" w:afterAutospacing="0" w:line="580" w:lineRule="exact"/>
        <w:ind w:firstLine="640" w:firstLineChars="200"/>
        <w:jc w:val="both"/>
        <w:rPr>
          <w:rFonts w:hint="eastAsia" w:ascii="楷体_GB2312" w:hAnsi="TimesNewRoman" w:eastAsia="楷体_GB2312" w:cs="TimesNewRoman"/>
          <w:b/>
          <w:sz w:val="32"/>
          <w:szCs w:val="32"/>
        </w:rPr>
      </w:pP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2024年没有政府性基金预算拨款收入，也没有使用政府性基金预算拨款安排的支出。</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八、关于2024年国有资本经营预算支出表的说明</w:t>
      </w:r>
    </w:p>
    <w:p>
      <w:pPr>
        <w:pStyle w:val="3"/>
        <w:topLinePunct/>
        <w:adjustRightInd w:val="0"/>
        <w:snapToGrid w:val="0"/>
        <w:spacing w:beforeAutospacing="0" w:afterAutospacing="0" w:line="580" w:lineRule="exact"/>
        <w:ind w:firstLine="640" w:firstLineChars="200"/>
        <w:jc w:val="both"/>
        <w:rPr>
          <w:rFonts w:hint="eastAsia" w:ascii="仿宋_GB2312" w:hAnsi="TimesNewRoman" w:eastAsia="仿宋_GB2312" w:cs="TimesNewRoman"/>
          <w:sz w:val="32"/>
          <w:szCs w:val="32"/>
        </w:rPr>
      </w:pP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2024年没有国有资本经营预算拨款收入，也没有使用国有资本经营预算拨款安排的支出。</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九、关于2024年项目支出表的说明</w:t>
      </w:r>
    </w:p>
    <w:p>
      <w:pPr>
        <w:pStyle w:val="3"/>
        <w:topLinePunct/>
        <w:adjustRightInd w:val="0"/>
        <w:snapToGrid w:val="0"/>
        <w:spacing w:beforeAutospacing="0" w:afterAutospacing="0" w:line="580" w:lineRule="exact"/>
        <w:ind w:firstLine="640" w:firstLineChars="200"/>
        <w:jc w:val="both"/>
        <w:rPr>
          <w:rFonts w:hint="eastAsia" w:ascii="仿宋_GB2312" w:hAnsi="TimesNewRoman" w:eastAsia="仿宋_GB2312" w:cs="TimesNewRoman"/>
          <w:sz w:val="32"/>
          <w:szCs w:val="32"/>
          <w:lang w:eastAsia="zh-CN"/>
        </w:rPr>
      </w:pP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2024年预算共安排项目支出</w:t>
      </w:r>
      <w:r>
        <w:rPr>
          <w:rFonts w:hint="eastAsia" w:ascii="仿宋_GB2312" w:hAnsi="TimesNewRoman" w:eastAsia="仿宋_GB2312" w:cs="TimesNewRoman"/>
          <w:sz w:val="32"/>
          <w:szCs w:val="32"/>
          <w:lang w:val="en-US" w:eastAsia="zh-CN"/>
        </w:rPr>
        <w:t>45.6</w:t>
      </w:r>
      <w:r>
        <w:rPr>
          <w:rFonts w:hint="eastAsia" w:ascii="仿宋_GB2312" w:hAnsi="TimesNewRoman" w:eastAsia="仿宋_GB2312" w:cs="TimesNewRoman"/>
          <w:sz w:val="32"/>
          <w:szCs w:val="32"/>
        </w:rPr>
        <w:t>万元，比2023年预算减少</w:t>
      </w:r>
      <w:r>
        <w:rPr>
          <w:rFonts w:hint="eastAsia" w:ascii="仿宋_GB2312" w:hAnsi="TimesNewRoman" w:eastAsia="仿宋_GB2312" w:cs="TimesNewRoman"/>
          <w:sz w:val="32"/>
          <w:szCs w:val="32"/>
          <w:lang w:val="en-US" w:eastAsia="zh-CN"/>
        </w:rPr>
        <w:t>2.4</w:t>
      </w:r>
      <w:r>
        <w:rPr>
          <w:rFonts w:hint="eastAsia" w:ascii="仿宋_GB2312" w:hAnsi="TimesNewRoman" w:eastAsia="仿宋_GB2312" w:cs="TimesNewRoman"/>
          <w:sz w:val="32"/>
          <w:szCs w:val="32"/>
        </w:rPr>
        <w:t>万元，下降</w:t>
      </w:r>
      <w:r>
        <w:rPr>
          <w:rFonts w:hint="eastAsia" w:ascii="仿宋_GB2312" w:hAnsi="TimesNewRoman" w:eastAsia="仿宋_GB2312" w:cs="TimesNewRoman"/>
          <w:sz w:val="32"/>
          <w:szCs w:val="32"/>
          <w:lang w:val="en-US" w:eastAsia="zh-CN"/>
        </w:rPr>
        <w:t>5</w:t>
      </w:r>
      <w:r>
        <w:rPr>
          <w:rFonts w:hint="eastAsia" w:ascii="仿宋_GB2312" w:hAnsi="TimesNewRoman" w:eastAsia="仿宋_GB2312" w:cs="TimesNewRoman"/>
          <w:sz w:val="32"/>
          <w:szCs w:val="32"/>
        </w:rPr>
        <w:t>%，下降原因主要是</w:t>
      </w:r>
      <w:r>
        <w:rPr>
          <w:rFonts w:hint="eastAsia" w:ascii="仿宋_GB2312" w:hAnsi="TimesNewRoman" w:eastAsia="仿宋_GB2312" w:cs="TimesNewRoman"/>
          <w:sz w:val="32"/>
          <w:szCs w:val="32"/>
          <w:lang w:val="en-US" w:eastAsia="zh-CN"/>
        </w:rPr>
        <w:t>贯彻厉行节约过紧日子要求，进一步压缩项目支出</w:t>
      </w:r>
      <w:r>
        <w:rPr>
          <w:rFonts w:hint="eastAsia" w:ascii="仿宋_GB2312" w:hAnsi="TimesNewRoman" w:eastAsia="仿宋_GB2312" w:cs="TimesNewRoman"/>
          <w:sz w:val="32"/>
          <w:szCs w:val="32"/>
        </w:rPr>
        <w:t>。主要包括：本年财政拨款安排</w:t>
      </w:r>
      <w:r>
        <w:rPr>
          <w:rFonts w:hint="eastAsia" w:ascii="仿宋_GB2312" w:hAnsi="TimesNewRoman" w:eastAsia="仿宋_GB2312" w:cs="TimesNewRoman"/>
          <w:sz w:val="32"/>
          <w:szCs w:val="32"/>
          <w:lang w:val="en-US" w:eastAsia="zh-CN"/>
        </w:rPr>
        <w:t>45.6</w:t>
      </w:r>
      <w:r>
        <w:rPr>
          <w:rFonts w:hint="eastAsia" w:ascii="仿宋_GB2312" w:hAnsi="TimesNewRoman" w:eastAsia="仿宋_GB2312" w:cs="TimesNewRoman"/>
          <w:sz w:val="32"/>
          <w:szCs w:val="32"/>
        </w:rPr>
        <w:t>万元（其中，一般公共预算拨款安排</w:t>
      </w:r>
      <w:r>
        <w:rPr>
          <w:rFonts w:hint="eastAsia" w:ascii="仿宋_GB2312" w:hAnsi="TimesNewRoman" w:eastAsia="仿宋_GB2312" w:cs="TimesNewRoman"/>
          <w:sz w:val="32"/>
          <w:szCs w:val="32"/>
          <w:lang w:val="en-US" w:eastAsia="zh-CN"/>
        </w:rPr>
        <w:t>45.6</w:t>
      </w:r>
      <w:r>
        <w:rPr>
          <w:rFonts w:hint="eastAsia" w:ascii="仿宋_GB2312" w:hAnsi="TimesNewRoman" w:eastAsia="仿宋_GB2312" w:cs="TimesNewRoman"/>
          <w:sz w:val="32"/>
          <w:szCs w:val="32"/>
        </w:rPr>
        <w:t>万元）</w:t>
      </w:r>
      <w:r>
        <w:rPr>
          <w:rFonts w:hint="eastAsia" w:ascii="仿宋_GB2312" w:hAnsi="TimesNewRoman" w:eastAsia="仿宋_GB2312" w:cs="TimesNewRoman"/>
          <w:sz w:val="32"/>
          <w:szCs w:val="32"/>
          <w:lang w:eastAsia="zh-CN"/>
        </w:rPr>
        <w:t>。</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十、关于2024年政府采购支出表的说明</w:t>
      </w:r>
    </w:p>
    <w:p>
      <w:pPr>
        <w:pStyle w:val="3"/>
        <w:topLinePunct/>
        <w:adjustRightInd w:val="0"/>
        <w:snapToGrid w:val="0"/>
        <w:spacing w:beforeAutospacing="0" w:afterAutospacing="0" w:line="580" w:lineRule="exact"/>
        <w:ind w:firstLine="640" w:firstLineChars="200"/>
        <w:jc w:val="both"/>
        <w:rPr>
          <w:rFonts w:hint="eastAsia" w:ascii="仿宋_GB2312" w:hAnsi="TimesNewRoman" w:eastAsia="仿宋_GB2312" w:cs="TimesNewRoman"/>
          <w:sz w:val="32"/>
          <w:szCs w:val="32"/>
        </w:rPr>
      </w:pP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2024年预算安排政府采购支出</w:t>
      </w:r>
      <w:r>
        <w:rPr>
          <w:rFonts w:hint="eastAsia" w:ascii="仿宋_GB2312" w:hAnsi="TimesNewRoman" w:eastAsia="仿宋_GB2312" w:cs="TimesNewRoman"/>
          <w:sz w:val="32"/>
          <w:szCs w:val="32"/>
          <w:lang w:val="en-US" w:eastAsia="zh-CN"/>
        </w:rPr>
        <w:t>0.65</w:t>
      </w:r>
      <w:r>
        <w:rPr>
          <w:rFonts w:hint="eastAsia" w:ascii="仿宋_GB2312" w:hAnsi="TimesNewRoman" w:eastAsia="仿宋_GB2312" w:cs="TimesNewRoman"/>
          <w:sz w:val="32"/>
          <w:szCs w:val="32"/>
        </w:rPr>
        <w:t>万元，比2023年预算减少</w:t>
      </w:r>
      <w:r>
        <w:rPr>
          <w:rFonts w:hint="eastAsia" w:ascii="仿宋_GB2312" w:hAnsi="TimesNewRoman" w:eastAsia="仿宋_GB2312" w:cs="TimesNewRoman"/>
          <w:sz w:val="32"/>
          <w:szCs w:val="32"/>
          <w:lang w:val="en-US" w:eastAsia="zh-CN"/>
        </w:rPr>
        <w:t>0.35</w:t>
      </w:r>
      <w:r>
        <w:rPr>
          <w:rFonts w:hint="eastAsia" w:ascii="仿宋_GB2312" w:hAnsi="TimesNewRoman" w:eastAsia="仿宋_GB2312" w:cs="TimesNewRoman"/>
          <w:sz w:val="32"/>
          <w:szCs w:val="32"/>
        </w:rPr>
        <w:t>万元，下降</w:t>
      </w:r>
      <w:r>
        <w:rPr>
          <w:rFonts w:hint="eastAsia" w:ascii="仿宋_GB2312" w:hAnsi="TimesNewRoman" w:eastAsia="仿宋_GB2312" w:cs="TimesNewRoman"/>
          <w:sz w:val="32"/>
          <w:szCs w:val="32"/>
          <w:lang w:val="en-US" w:eastAsia="zh-CN"/>
        </w:rPr>
        <w:t>38.89</w:t>
      </w:r>
      <w:r>
        <w:rPr>
          <w:rFonts w:hint="eastAsia" w:ascii="仿宋_GB2312" w:hAnsi="TimesNewRoman" w:eastAsia="仿宋_GB2312" w:cs="TimesNewRoman"/>
          <w:sz w:val="32"/>
          <w:szCs w:val="32"/>
        </w:rPr>
        <w:t>%，下降原因主要是</w:t>
      </w:r>
      <w:r>
        <w:rPr>
          <w:rFonts w:hint="eastAsia" w:ascii="仿宋_GB2312" w:hAnsi="TimesNewRoman" w:eastAsia="仿宋_GB2312" w:cs="TimesNewRoman"/>
          <w:sz w:val="32"/>
          <w:szCs w:val="32"/>
          <w:lang w:val="en-US" w:eastAsia="zh-CN"/>
        </w:rPr>
        <w:t>计划采购项目减少</w:t>
      </w:r>
      <w:r>
        <w:rPr>
          <w:rFonts w:hint="eastAsia" w:ascii="仿宋_GB2312" w:hAnsi="TimesNewRoman" w:eastAsia="仿宋_GB2312" w:cs="TimesNewRoman"/>
          <w:sz w:val="32"/>
          <w:szCs w:val="32"/>
        </w:rPr>
        <w:t>。其中，一般公共预算安排</w:t>
      </w:r>
      <w:r>
        <w:rPr>
          <w:rFonts w:hint="eastAsia" w:ascii="仿宋_GB2312" w:hAnsi="TimesNewRoman" w:eastAsia="仿宋_GB2312" w:cs="TimesNewRoman"/>
          <w:sz w:val="32"/>
          <w:szCs w:val="32"/>
          <w:lang w:val="en-US" w:eastAsia="zh-CN"/>
        </w:rPr>
        <w:t>0.65</w:t>
      </w:r>
      <w:r>
        <w:rPr>
          <w:rFonts w:hint="eastAsia" w:ascii="仿宋_GB2312" w:hAnsi="TimesNewRoman" w:eastAsia="仿宋_GB2312" w:cs="TimesNewRoman"/>
          <w:sz w:val="32"/>
          <w:szCs w:val="32"/>
        </w:rPr>
        <w:t>万元，占</w:t>
      </w:r>
      <w:r>
        <w:rPr>
          <w:rFonts w:hint="eastAsia" w:ascii="仿宋_GB2312" w:hAnsi="TimesNewRoman" w:eastAsia="仿宋_GB2312" w:cs="TimesNewRoman"/>
          <w:sz w:val="32"/>
          <w:szCs w:val="32"/>
          <w:lang w:val="en-US" w:eastAsia="zh-CN"/>
        </w:rPr>
        <w:t>100</w:t>
      </w:r>
      <w:r>
        <w:rPr>
          <w:rFonts w:hint="eastAsia" w:ascii="仿宋_GB2312" w:hAnsi="TimesNewRoman" w:eastAsia="仿宋_GB2312" w:cs="TimesNewRoman"/>
          <w:sz w:val="32"/>
          <w:szCs w:val="32"/>
        </w:rPr>
        <w:t>%。</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十一、关于2024年政府购买服务支出表的说明</w:t>
      </w:r>
    </w:p>
    <w:p>
      <w:pPr>
        <w:pStyle w:val="3"/>
        <w:topLinePunct/>
        <w:adjustRightInd w:val="0"/>
        <w:snapToGrid w:val="0"/>
        <w:spacing w:beforeAutospacing="0" w:afterAutospacing="0" w:line="580" w:lineRule="exact"/>
        <w:ind w:firstLine="640" w:firstLineChars="200"/>
        <w:jc w:val="both"/>
        <w:rPr>
          <w:rFonts w:hint="eastAsia" w:ascii="仿宋_GB2312" w:hAnsi="TimesNewRoman" w:eastAsia="仿宋_GB2312" w:cs="TimesNewRoman"/>
          <w:sz w:val="32"/>
          <w:szCs w:val="32"/>
        </w:rPr>
      </w:pPr>
      <w:r>
        <w:rPr>
          <w:rFonts w:hint="eastAsia" w:ascii="仿宋_GB2312" w:hAnsi="TimesNewRoman" w:eastAsia="仿宋_GB2312" w:cs="TimesNewRoman"/>
          <w:sz w:val="32"/>
          <w:szCs w:val="32"/>
          <w:lang w:eastAsia="zh-CN"/>
        </w:rPr>
        <w:t>寿县科学技术协会</w:t>
      </w:r>
      <w:r>
        <w:rPr>
          <w:rFonts w:hint="eastAsia" w:ascii="仿宋_GB2312" w:hAnsi="TimesNewRoman" w:eastAsia="仿宋_GB2312" w:cs="TimesNewRoman"/>
          <w:sz w:val="32"/>
          <w:szCs w:val="32"/>
        </w:rPr>
        <w:t>2024年没有安排政府购买服务支出。</w:t>
      </w:r>
    </w:p>
    <w:p>
      <w:pPr>
        <w:pStyle w:val="3"/>
        <w:topLinePunct/>
        <w:adjustRightInd w:val="0"/>
        <w:snapToGrid w:val="0"/>
        <w:spacing w:beforeAutospacing="0" w:afterAutospacing="0" w:line="580" w:lineRule="exact"/>
        <w:ind w:firstLine="643" w:firstLineChars="200"/>
        <w:jc w:val="both"/>
        <w:rPr>
          <w:rFonts w:hint="eastAsia" w:ascii="楷体_GB2312" w:hAnsi="TimesNewRoman" w:eastAsia="楷体_GB2312" w:cs="TimesNewRoman"/>
          <w:b/>
          <w:sz w:val="32"/>
          <w:szCs w:val="32"/>
        </w:rPr>
      </w:pPr>
      <w:r>
        <w:rPr>
          <w:rFonts w:hint="eastAsia" w:ascii="楷体_GB2312" w:hAnsi="TimesNewRoman" w:eastAsia="楷体_GB2312" w:cs="TimesNewRoman"/>
          <w:b/>
          <w:sz w:val="32"/>
          <w:szCs w:val="32"/>
        </w:rPr>
        <w:t>十二、其他重要事项情况说明</w:t>
      </w:r>
    </w:p>
    <w:p>
      <w:pPr>
        <w:topLinePunct/>
        <w:adjustRightInd w:val="0"/>
        <w:snapToGrid w:val="0"/>
        <w:spacing w:line="580" w:lineRule="exact"/>
        <w:ind w:firstLine="643" w:firstLineChars="200"/>
        <w:rPr>
          <w:rFonts w:hint="eastAsia" w:ascii="仿宋_GB2312" w:hAnsi="TimesNewRoman" w:eastAsia="仿宋_GB2312" w:cs="TimesNewRoman"/>
          <w:b/>
          <w:sz w:val="32"/>
          <w:szCs w:val="32"/>
        </w:rPr>
      </w:pPr>
      <w:r>
        <w:rPr>
          <w:rFonts w:hint="eastAsia" w:ascii="仿宋_GB2312" w:hAnsi="TimesNewRoman" w:eastAsia="仿宋_GB2312" w:cs="TimesNewRoman"/>
          <w:b/>
          <w:sz w:val="32"/>
          <w:szCs w:val="32"/>
        </w:rPr>
        <w:t>（一）项目及绩效目标情况。</w:t>
      </w:r>
    </w:p>
    <w:p>
      <w:pPr>
        <w:topLinePunct/>
        <w:adjustRightInd w:val="0"/>
        <w:snapToGrid w:val="0"/>
        <w:spacing w:line="580" w:lineRule="exact"/>
        <w:ind w:firstLine="643" w:firstLineChars="200"/>
        <w:rPr>
          <w:rFonts w:hint="eastAsia" w:ascii="仿宋_GB2312" w:hAnsi="TimesNewRoman" w:eastAsia="仿宋_GB2312" w:cs="TimesNewRoman"/>
          <w:b/>
          <w:sz w:val="32"/>
          <w:szCs w:val="32"/>
        </w:rPr>
      </w:pPr>
      <w:r>
        <w:rPr>
          <w:rFonts w:hint="eastAsia" w:ascii="仿宋_GB2312" w:hAnsi="TimesNewRoman" w:eastAsia="仿宋_GB2312" w:cs="TimesNewRoman"/>
          <w:b/>
          <w:sz w:val="32"/>
          <w:szCs w:val="32"/>
        </w:rPr>
        <w:t>“</w:t>
      </w:r>
      <w:r>
        <w:rPr>
          <w:rFonts w:hint="eastAsia" w:ascii="仿宋_GB2312" w:hAnsi="楷体" w:eastAsia="仿宋_GB2312"/>
          <w:b/>
          <w:sz w:val="32"/>
          <w:szCs w:val="32"/>
        </w:rPr>
        <w:t>科普工作经费</w:t>
      </w:r>
      <w:r>
        <w:rPr>
          <w:rFonts w:hint="eastAsia" w:ascii="仿宋_GB2312" w:hAnsi="TimesNewRoman" w:eastAsia="仿宋_GB2312" w:cs="TimesNewRoman"/>
          <w:b/>
          <w:sz w:val="32"/>
          <w:szCs w:val="32"/>
        </w:rPr>
        <w:t>”项目。</w:t>
      </w:r>
    </w:p>
    <w:p>
      <w:pPr>
        <w:topLinePunct/>
        <w:adjustRightInd w:val="0"/>
        <w:snapToGrid w:val="0"/>
        <w:spacing w:line="580" w:lineRule="exact"/>
        <w:ind w:firstLine="640" w:firstLineChars="200"/>
        <w:rPr>
          <w:rFonts w:ascii="仿宋" w:hAnsi="仿宋" w:eastAsia="仿宋" w:cs="宋体"/>
          <w:color w:val="000000" w:themeColor="text1"/>
          <w:kern w:val="0"/>
          <w:sz w:val="32"/>
          <w:szCs w:val="32"/>
          <w14:textFill>
            <w14:solidFill>
              <w14:schemeClr w14:val="tx1"/>
            </w14:solidFill>
          </w14:textFill>
        </w:rPr>
      </w:pPr>
      <w:r>
        <w:rPr>
          <w:rFonts w:hint="eastAsia" w:ascii="仿宋_GB2312" w:hAnsi="TimesNewRoman" w:eastAsia="仿宋_GB2312" w:cs="TimesNewRoman"/>
          <w:sz w:val="32"/>
          <w:szCs w:val="32"/>
        </w:rPr>
        <w:t>（1）项目概述</w:t>
      </w:r>
      <w:r>
        <w:rPr>
          <w:rFonts w:hint="eastAsia" w:ascii="仿宋_GB2312" w:hAnsi="TimesNewRoman" w:eastAsia="仿宋_GB2312" w:cs="TimesNewRoman"/>
          <w:sz w:val="32"/>
          <w:szCs w:val="32"/>
          <w:lang w:eastAsia="zh-CN"/>
        </w:rPr>
        <w:t>：</w:t>
      </w:r>
      <w:r>
        <w:rPr>
          <w:rFonts w:hint="eastAsia" w:ascii="仿宋" w:hAnsi="仿宋" w:eastAsia="仿宋" w:cs="宋体"/>
          <w:color w:val="000000" w:themeColor="text1"/>
          <w:kern w:val="0"/>
          <w:sz w:val="32"/>
          <w:szCs w:val="32"/>
          <w14:textFill>
            <w14:solidFill>
              <w14:schemeClr w14:val="tx1"/>
            </w14:solidFill>
          </w14:textFill>
        </w:rPr>
        <w:t>寿县科学技术协会是县委领导下的人民团体，是县委、县政府联系科技工作者的桥梁和纽带，是发展科学技术事业的重要力量。寿县科协始终坚持以习近平新时代中国特色社会主义思想为指导，围绕县委、县政府的中心工作，认真贯彻落实全民科学素质纲要，</w:t>
      </w:r>
      <w:r>
        <w:rPr>
          <w:rFonts w:hint="eastAsia" w:ascii="仿宋" w:hAnsi="仿宋" w:eastAsia="仿宋" w:cs="宋体"/>
          <w:color w:val="000000" w:themeColor="text1"/>
          <w:kern w:val="0"/>
          <w:sz w:val="32"/>
          <w:szCs w:val="32"/>
          <w:lang w:val="en-US" w:eastAsia="zh-CN"/>
          <w14:textFill>
            <w14:solidFill>
              <w14:schemeClr w14:val="tx1"/>
            </w14:solidFill>
          </w14:textFill>
        </w:rPr>
        <w:t>通过实施“科普工作经费”项目，</w:t>
      </w:r>
      <w:r>
        <w:rPr>
          <w:rFonts w:hint="eastAsia" w:ascii="仿宋" w:hAnsi="仿宋" w:eastAsia="仿宋" w:cs="宋体"/>
          <w:color w:val="000000" w:themeColor="text1"/>
          <w:kern w:val="0"/>
          <w:sz w:val="32"/>
          <w:szCs w:val="32"/>
          <w14:textFill>
            <w14:solidFill>
              <w14:schemeClr w14:val="tx1"/>
            </w14:solidFill>
          </w14:textFill>
        </w:rPr>
        <w:t>加大科普工作力度，普及科学知识、倡导科学方法、传播科学思想、弘扬科学精神，进一步巩固和加强寿县</w:t>
      </w:r>
      <w:r>
        <w:rPr>
          <w:rFonts w:hint="eastAsia" w:ascii="仿宋" w:hAnsi="仿宋" w:eastAsia="仿宋" w:cs="宋体"/>
          <w:color w:val="000000" w:themeColor="text1"/>
          <w:kern w:val="0"/>
          <w:sz w:val="32"/>
          <w:szCs w:val="32"/>
          <w:lang w:val="en-US" w:eastAsia="zh-CN"/>
          <w14:textFill>
            <w14:solidFill>
              <w14:schemeClr w14:val="tx1"/>
            </w14:solidFill>
          </w14:textFill>
        </w:rPr>
        <w:t>科协科普</w:t>
      </w:r>
      <w:r>
        <w:rPr>
          <w:rFonts w:hint="eastAsia" w:ascii="仿宋" w:hAnsi="仿宋" w:eastAsia="仿宋" w:cs="宋体"/>
          <w:color w:val="000000" w:themeColor="text1"/>
          <w:kern w:val="0"/>
          <w:sz w:val="32"/>
          <w:szCs w:val="32"/>
          <w14:textFill>
            <w14:solidFill>
              <w14:schemeClr w14:val="tx1"/>
            </w14:solidFill>
          </w14:textFill>
        </w:rPr>
        <w:t>服务能力</w:t>
      </w:r>
      <w:r>
        <w:rPr>
          <w:rFonts w:hint="eastAsia" w:ascii="仿宋" w:hAnsi="仿宋" w:eastAsia="仿宋" w:cs="宋体"/>
          <w:color w:val="000000" w:themeColor="text1"/>
          <w:kern w:val="0"/>
          <w:sz w:val="32"/>
          <w:szCs w:val="32"/>
          <w:lang w:eastAsia="zh-CN"/>
          <w14:textFill>
            <w14:solidFill>
              <w14:schemeClr w14:val="tx1"/>
            </w14:solidFill>
          </w14:textFill>
        </w:rPr>
        <w:t>，</w:t>
      </w:r>
      <w:r>
        <w:rPr>
          <w:rFonts w:hint="eastAsia" w:ascii="仿宋" w:hAnsi="仿宋" w:eastAsia="仿宋" w:cs="宋体"/>
          <w:color w:val="000000" w:themeColor="text1"/>
          <w:kern w:val="0"/>
          <w:sz w:val="32"/>
          <w:szCs w:val="32"/>
          <w14:textFill>
            <w14:solidFill>
              <w14:schemeClr w14:val="tx1"/>
            </w14:solidFill>
          </w14:textFill>
        </w:rPr>
        <w:t>为寿县人民提供公共科普服务，为寿县经济社会发展提供科普资源支持。</w:t>
      </w:r>
    </w:p>
    <w:p>
      <w:pPr>
        <w:numPr>
          <w:ilvl w:val="0"/>
          <w:numId w:val="1"/>
        </w:numPr>
        <w:topLinePunct/>
        <w:adjustRightInd w:val="0"/>
        <w:snapToGrid w:val="0"/>
        <w:spacing w:line="58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立项依据</w:t>
      </w:r>
      <w:r>
        <w:rPr>
          <w:rFonts w:hint="eastAsia" w:ascii="仿宋_GB2312" w:hAnsi="TimesNewRoman" w:eastAsia="仿宋_GB2312" w:cs="TimesNewRoman"/>
          <w:sz w:val="32"/>
          <w:szCs w:val="32"/>
          <w:lang w:eastAsia="zh-CN"/>
        </w:rPr>
        <w:t>：</w:t>
      </w:r>
      <w:r>
        <w:rPr>
          <w:rFonts w:hint="eastAsia" w:ascii="Arial" w:hAnsi="Arial" w:eastAsia="仿宋_GB2312" w:cs="Arial"/>
          <w:color w:val="333333"/>
          <w:sz w:val="32"/>
          <w:szCs w:val="32"/>
          <w:shd w:val="clear" w:color="auto" w:fill="FFFFFF"/>
        </w:rPr>
        <w:t>“落实人均0.5元的科普经费，力争三年内实现人均1元的科普经费要求”</w:t>
      </w:r>
    </w:p>
    <w:p>
      <w:pPr>
        <w:numPr>
          <w:ilvl w:val="0"/>
          <w:numId w:val="1"/>
        </w:numPr>
        <w:topLinePunct/>
        <w:adjustRightInd w:val="0"/>
        <w:snapToGrid w:val="0"/>
        <w:spacing w:line="580" w:lineRule="exact"/>
        <w:ind w:left="0" w:leftChars="0" w:firstLine="640" w:firstLineChars="200"/>
        <w:rPr>
          <w:rFonts w:hint="default" w:ascii="仿宋_GB2312" w:hAnsi="TimesNewRoman" w:eastAsia="仿宋_GB2312" w:cs="TimesNewRoman"/>
          <w:sz w:val="32"/>
          <w:szCs w:val="32"/>
          <w:lang w:val="en-US" w:eastAsia="zh-CN"/>
        </w:rPr>
      </w:pPr>
      <w:r>
        <w:rPr>
          <w:rFonts w:hint="eastAsia" w:ascii="仿宋_GB2312" w:hAnsi="TimesNewRoman" w:eastAsia="仿宋_GB2312" w:cs="TimesNewRoman"/>
          <w:sz w:val="32"/>
          <w:szCs w:val="32"/>
        </w:rPr>
        <w:t>实施主体</w:t>
      </w:r>
      <w:r>
        <w:rPr>
          <w:rFonts w:hint="eastAsia" w:ascii="仿宋_GB2312" w:hAnsi="TimesNewRoman" w:eastAsia="仿宋_GB2312" w:cs="TimesNewRoman"/>
          <w:sz w:val="32"/>
          <w:szCs w:val="32"/>
          <w:lang w:eastAsia="zh-CN"/>
        </w:rPr>
        <w:t>：</w:t>
      </w:r>
      <w:r>
        <w:rPr>
          <w:rFonts w:hint="eastAsia" w:ascii="仿宋_GB2312" w:hAnsi="TimesNewRoman" w:eastAsia="仿宋_GB2312" w:cs="TimesNewRoman"/>
          <w:sz w:val="32"/>
          <w:szCs w:val="32"/>
          <w:lang w:val="en-US" w:eastAsia="zh-CN"/>
        </w:rPr>
        <w:t>寿县科学技术协会</w:t>
      </w:r>
    </w:p>
    <w:p>
      <w:pPr>
        <w:numPr>
          <w:ilvl w:val="0"/>
          <w:numId w:val="1"/>
        </w:numPr>
        <w:topLinePunct/>
        <w:adjustRightInd w:val="0"/>
        <w:snapToGrid w:val="0"/>
        <w:spacing w:line="580" w:lineRule="exact"/>
        <w:ind w:left="0" w:leftChars="0" w:firstLine="640" w:firstLineChars="200"/>
        <w:rPr>
          <w:rFonts w:hint="eastAsia" w:ascii="仿宋_GB2312" w:hAnsi="TimesNewRoman" w:eastAsia="仿宋_GB2312" w:cs="TimesNewRoman"/>
          <w:sz w:val="32"/>
          <w:szCs w:val="32"/>
          <w:lang w:val="en-US" w:eastAsia="zh-CN"/>
        </w:rPr>
      </w:pPr>
      <w:r>
        <w:rPr>
          <w:rFonts w:hint="eastAsia" w:ascii="仿宋_GB2312" w:hAnsi="TimesNewRoman" w:eastAsia="仿宋_GB2312" w:cs="TimesNewRoman"/>
          <w:sz w:val="32"/>
          <w:szCs w:val="32"/>
        </w:rPr>
        <w:t>起止时间</w:t>
      </w:r>
      <w:r>
        <w:rPr>
          <w:rFonts w:hint="eastAsia" w:ascii="仿宋_GB2312" w:hAnsi="TimesNewRoman" w:eastAsia="仿宋_GB2312" w:cs="TimesNewRoman"/>
          <w:sz w:val="32"/>
          <w:szCs w:val="32"/>
          <w:lang w:eastAsia="zh-CN"/>
        </w:rPr>
        <w:t>：</w:t>
      </w:r>
      <w:r>
        <w:rPr>
          <w:rFonts w:hint="eastAsia" w:ascii="仿宋_GB2312" w:hAnsi="TimesNewRoman" w:eastAsia="仿宋_GB2312" w:cs="TimesNewRoman"/>
          <w:sz w:val="32"/>
          <w:szCs w:val="32"/>
          <w:lang w:val="en-US" w:eastAsia="zh-CN"/>
        </w:rPr>
        <w:t>2024年度</w:t>
      </w:r>
    </w:p>
    <w:p>
      <w:pPr>
        <w:numPr>
          <w:ilvl w:val="0"/>
          <w:numId w:val="1"/>
        </w:numPr>
        <w:topLinePunct/>
        <w:adjustRightInd w:val="0"/>
        <w:snapToGrid w:val="0"/>
        <w:spacing w:line="580" w:lineRule="exact"/>
        <w:ind w:left="0" w:leftChars="0"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项目内容</w:t>
      </w:r>
      <w:r>
        <w:rPr>
          <w:rFonts w:hint="eastAsia" w:ascii="仿宋_GB2312" w:hAnsi="TimesNewRoman" w:eastAsia="仿宋_GB2312" w:cs="TimesNewRoman"/>
          <w:sz w:val="32"/>
          <w:szCs w:val="32"/>
          <w:lang w:eastAsia="zh-CN"/>
        </w:rPr>
        <w:t>：科普示范单位、科</w:t>
      </w:r>
      <w:bookmarkStart w:id="0" w:name="_GoBack"/>
      <w:bookmarkEnd w:id="0"/>
      <w:r>
        <w:rPr>
          <w:rFonts w:hint="eastAsia" w:ascii="仿宋_GB2312" w:hAnsi="TimesNewRoman" w:eastAsia="仿宋_GB2312" w:cs="TimesNewRoman"/>
          <w:sz w:val="32"/>
          <w:szCs w:val="32"/>
          <w:lang w:eastAsia="zh-CN"/>
        </w:rPr>
        <w:t>普教育基地等科普阵地顺利创建；全国科普日、科技活动周、科普大篷车巡展等系列科普活动顺利开展；保障《全民科学素质行动规划纲要》顺利实施。</w:t>
      </w:r>
    </w:p>
    <w:p>
      <w:pPr>
        <w:numPr>
          <w:ilvl w:val="0"/>
          <w:numId w:val="1"/>
        </w:numPr>
        <w:topLinePunct/>
        <w:adjustRightInd w:val="0"/>
        <w:snapToGrid w:val="0"/>
        <w:spacing w:line="580" w:lineRule="exact"/>
        <w:ind w:left="0" w:leftChars="0"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年度预算安排</w:t>
      </w:r>
      <w:r>
        <w:rPr>
          <w:rFonts w:hint="eastAsia" w:ascii="仿宋_GB2312" w:hAnsi="TimesNewRoman" w:eastAsia="仿宋_GB2312" w:cs="TimesNewRoman"/>
          <w:sz w:val="32"/>
          <w:szCs w:val="32"/>
          <w:lang w:eastAsia="zh-CN"/>
        </w:rPr>
        <w:t>：</w:t>
      </w:r>
      <w:r>
        <w:rPr>
          <w:rFonts w:hint="eastAsia" w:ascii="仿宋_GB2312" w:hAnsi="TimesNewRoman" w:eastAsia="仿宋_GB2312" w:cs="TimesNewRoman"/>
          <w:sz w:val="32"/>
          <w:szCs w:val="32"/>
          <w:lang w:val="en-US" w:eastAsia="zh-CN"/>
        </w:rPr>
        <w:t>46.5万元。</w:t>
      </w:r>
    </w:p>
    <w:p>
      <w:pPr>
        <w:numPr>
          <w:ilvl w:val="0"/>
          <w:numId w:val="1"/>
        </w:numPr>
        <w:topLinePunct/>
        <w:adjustRightInd w:val="0"/>
        <w:snapToGrid w:val="0"/>
        <w:spacing w:line="580" w:lineRule="exact"/>
        <w:ind w:left="0" w:leftChars="0"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绩效目标。</w:t>
      </w:r>
    </w:p>
    <w:tbl>
      <w:tblPr>
        <w:tblStyle w:val="4"/>
        <w:tblW w:w="90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
        <w:gridCol w:w="723"/>
        <w:gridCol w:w="282"/>
        <w:gridCol w:w="774"/>
        <w:gridCol w:w="3090"/>
        <w:gridCol w:w="1333"/>
        <w:gridCol w:w="2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 w:hRule="atLeast"/>
        </w:trPr>
        <w:tc>
          <w:tcPr>
            <w:tcW w:w="9020" w:type="dxa"/>
            <w:gridSpan w:val="7"/>
            <w:tcBorders>
              <w:top w:val="nil"/>
              <w:left w:val="nil"/>
              <w:bottom w:val="nil"/>
              <w:right w:val="nil"/>
            </w:tcBorders>
            <w:noWrap w:val="0"/>
            <w:vAlign w:val="center"/>
          </w:tcPr>
          <w:p>
            <w:pPr>
              <w:widowControl/>
              <w:jc w:val="center"/>
              <w:textAlignment w:val="center"/>
              <w:rPr>
                <w:rFonts w:ascii="宋体" w:cs="宋体"/>
                <w:b/>
                <w:bCs/>
                <w:szCs w:val="32"/>
              </w:rPr>
            </w:pPr>
            <w:r>
              <w:rPr>
                <w:rFonts w:hint="eastAsia" w:ascii="宋体" w:hAnsi="宋体" w:cs="宋体"/>
                <w:b/>
                <w:color w:val="000000"/>
                <w:kern w:val="0"/>
                <w:sz w:val="28"/>
                <w:szCs w:val="28"/>
                <w:lang w:bidi="ar"/>
              </w:rPr>
              <w:t>项目支出绩效目标表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20" w:type="dxa"/>
            <w:gridSpan w:val="7"/>
            <w:tcBorders>
              <w:top w:val="nil"/>
              <w:left w:val="nil"/>
              <w:right w:val="nil"/>
            </w:tcBorders>
            <w:noWrap w:val="0"/>
            <w:vAlign w:val="center"/>
          </w:tcPr>
          <w:p>
            <w:pPr>
              <w:widowControl/>
              <w:jc w:val="center"/>
              <w:textAlignment w:val="center"/>
              <w:rPr>
                <w:rFonts w:ascii="宋体" w:cs="宋体"/>
                <w:sz w:val="20"/>
              </w:rPr>
            </w:pPr>
            <w:r>
              <w:rPr>
                <w:rFonts w:hint="eastAsia" w:ascii="宋体" w:hAnsi="宋体" w:cs="宋体"/>
                <w:color w:val="000000"/>
                <w:kern w:val="0"/>
                <w:sz w:val="20"/>
                <w:szCs w:val="20"/>
                <w:lang w:bidi="ar"/>
              </w:rPr>
              <w:t xml:space="preserve"> （2024年度）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443" w:type="dxa"/>
            <w:gridSpan w:val="3"/>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项目名称</w:t>
            </w:r>
          </w:p>
        </w:tc>
        <w:tc>
          <w:tcPr>
            <w:tcW w:w="7577" w:type="dxa"/>
            <w:gridSpan w:val="4"/>
            <w:noWrap w:val="0"/>
            <w:vAlign w:val="center"/>
          </w:tcPr>
          <w:p>
            <w:pPr>
              <w:spacing w:line="260" w:lineRule="exact"/>
              <w:jc w:val="center"/>
              <w:rPr>
                <w:rFonts w:ascii="宋体" w:cs="宋体"/>
                <w:sz w:val="18"/>
                <w:szCs w:val="18"/>
              </w:rPr>
            </w:pPr>
            <w:r>
              <w:rPr>
                <w:rFonts w:hint="eastAsia" w:ascii="宋体" w:cs="宋体"/>
                <w:sz w:val="18"/>
                <w:szCs w:val="18"/>
              </w:rPr>
              <w:t>科普工作经费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trPr>
        <w:tc>
          <w:tcPr>
            <w:tcW w:w="1443" w:type="dxa"/>
            <w:gridSpan w:val="3"/>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主管部门   及代码</w:t>
            </w:r>
          </w:p>
        </w:tc>
        <w:tc>
          <w:tcPr>
            <w:tcW w:w="3864" w:type="dxa"/>
            <w:gridSpan w:val="2"/>
            <w:noWrap w:val="0"/>
            <w:vAlign w:val="center"/>
          </w:tcPr>
          <w:p>
            <w:pPr>
              <w:spacing w:line="260" w:lineRule="exact"/>
              <w:jc w:val="center"/>
              <w:rPr>
                <w:rFonts w:hint="default" w:ascii="宋体" w:eastAsia="宋体" w:cs="宋体"/>
                <w:sz w:val="18"/>
                <w:szCs w:val="18"/>
                <w:lang w:val="en-US" w:eastAsia="zh-CN"/>
              </w:rPr>
            </w:pPr>
            <w:r>
              <w:rPr>
                <w:rFonts w:hint="eastAsia" w:ascii="宋体" w:cs="宋体"/>
                <w:sz w:val="18"/>
                <w:szCs w:val="18"/>
              </w:rPr>
              <w:t>寿县科学技术协会</w:t>
            </w:r>
            <w:r>
              <w:rPr>
                <w:rFonts w:hint="eastAsia" w:ascii="宋体" w:cs="宋体"/>
                <w:sz w:val="18"/>
                <w:szCs w:val="18"/>
                <w:lang w:val="en-US" w:eastAsia="zh-CN"/>
              </w:rPr>
              <w:t xml:space="preserve"> 116</w:t>
            </w:r>
          </w:p>
        </w:tc>
        <w:tc>
          <w:tcPr>
            <w:tcW w:w="1333" w:type="dxa"/>
            <w:noWrap w:val="0"/>
            <w:vAlign w:val="center"/>
          </w:tcPr>
          <w:p>
            <w:pPr>
              <w:spacing w:line="260" w:lineRule="exact"/>
              <w:jc w:val="center"/>
              <w:textAlignment w:val="center"/>
              <w:rPr>
                <w:sz w:val="18"/>
                <w:szCs w:val="18"/>
              </w:rPr>
            </w:pPr>
            <w:r>
              <w:rPr>
                <w:rFonts w:hint="eastAsia" w:ascii="宋体" w:hAnsi="宋体" w:cs="宋体"/>
                <w:color w:val="000000"/>
                <w:kern w:val="0"/>
                <w:sz w:val="18"/>
                <w:szCs w:val="18"/>
                <w:lang w:bidi="ar"/>
              </w:rPr>
              <w:t>实施单位</w:t>
            </w:r>
          </w:p>
        </w:tc>
        <w:tc>
          <w:tcPr>
            <w:tcW w:w="2380" w:type="dxa"/>
            <w:noWrap w:val="0"/>
            <w:vAlign w:val="center"/>
          </w:tcPr>
          <w:p>
            <w:pPr>
              <w:spacing w:line="260" w:lineRule="exact"/>
              <w:jc w:val="center"/>
              <w:rPr>
                <w:sz w:val="18"/>
                <w:szCs w:val="18"/>
              </w:rPr>
            </w:pPr>
            <w:r>
              <w:rPr>
                <w:rFonts w:hint="eastAsia"/>
                <w:sz w:val="18"/>
                <w:szCs w:val="18"/>
              </w:rPr>
              <w:t>寿县科学技术协会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443" w:type="dxa"/>
            <w:gridSpan w:val="3"/>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项目来源</w:t>
            </w:r>
          </w:p>
        </w:tc>
        <w:tc>
          <w:tcPr>
            <w:tcW w:w="3864" w:type="dxa"/>
            <w:gridSpan w:val="2"/>
            <w:noWrap w:val="0"/>
            <w:vAlign w:val="center"/>
          </w:tcPr>
          <w:p>
            <w:pPr>
              <w:spacing w:line="260" w:lineRule="exact"/>
              <w:jc w:val="center"/>
              <w:rPr>
                <w:rFonts w:hint="eastAsia" w:ascii="宋体" w:eastAsia="宋体" w:cs="宋体"/>
                <w:sz w:val="18"/>
                <w:szCs w:val="18"/>
                <w:lang w:val="en-US" w:eastAsia="zh-CN"/>
              </w:rPr>
            </w:pPr>
            <w:r>
              <w:rPr>
                <w:rFonts w:hint="eastAsia" w:ascii="宋体" w:cs="宋体"/>
                <w:sz w:val="18"/>
                <w:szCs w:val="18"/>
                <w:lang w:val="en-US" w:eastAsia="zh-CN"/>
              </w:rPr>
              <w:t>本级项目</w:t>
            </w:r>
          </w:p>
        </w:tc>
        <w:tc>
          <w:tcPr>
            <w:tcW w:w="1333" w:type="dxa"/>
            <w:noWrap w:val="0"/>
            <w:vAlign w:val="center"/>
          </w:tcPr>
          <w:p>
            <w:pPr>
              <w:spacing w:line="260" w:lineRule="exact"/>
              <w:jc w:val="center"/>
              <w:textAlignment w:val="center"/>
              <w:rPr>
                <w:sz w:val="18"/>
                <w:szCs w:val="18"/>
              </w:rPr>
            </w:pPr>
            <w:r>
              <w:rPr>
                <w:rFonts w:hint="eastAsia" w:ascii="宋体" w:hAnsi="宋体" w:cs="宋体"/>
                <w:color w:val="000000"/>
                <w:kern w:val="0"/>
                <w:sz w:val="18"/>
                <w:szCs w:val="18"/>
                <w:lang w:bidi="ar"/>
              </w:rPr>
              <w:t>项目期</w:t>
            </w:r>
          </w:p>
        </w:tc>
        <w:tc>
          <w:tcPr>
            <w:tcW w:w="2380" w:type="dxa"/>
            <w:noWrap w:val="0"/>
            <w:vAlign w:val="center"/>
          </w:tcPr>
          <w:p>
            <w:pPr>
              <w:spacing w:line="260" w:lineRule="exact"/>
              <w:jc w:val="center"/>
              <w:rPr>
                <w:rFonts w:hint="default" w:eastAsia="宋体"/>
                <w:sz w:val="18"/>
                <w:szCs w:val="18"/>
                <w:lang w:val="en-US" w:eastAsia="zh-CN"/>
              </w:rPr>
            </w:pPr>
            <w:r>
              <w:rPr>
                <w:rFonts w:hint="eastAsia"/>
                <w:sz w:val="18"/>
                <w:szCs w:val="18"/>
                <w:lang w:val="en-US" w:eastAsia="zh-CN"/>
              </w:rPr>
              <w:t>2024年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443" w:type="dxa"/>
            <w:gridSpan w:val="3"/>
            <w:vMerge w:val="restart"/>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项目资金</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（万元）</w:t>
            </w:r>
          </w:p>
        </w:tc>
        <w:tc>
          <w:tcPr>
            <w:tcW w:w="3864" w:type="dxa"/>
            <w:gridSpan w:val="2"/>
            <w:noWrap w:val="0"/>
            <w:vAlign w:val="center"/>
          </w:tcPr>
          <w:p>
            <w:pPr>
              <w:spacing w:line="260" w:lineRule="exact"/>
              <w:jc w:val="left"/>
              <w:textAlignment w:val="center"/>
              <w:rPr>
                <w:rFonts w:ascii="宋体" w:cs="宋体"/>
                <w:sz w:val="18"/>
                <w:szCs w:val="18"/>
              </w:rPr>
            </w:pPr>
            <w:r>
              <w:rPr>
                <w:rFonts w:hint="eastAsia" w:ascii="宋体" w:hAnsi="宋体" w:cs="宋体"/>
                <w:color w:val="000000"/>
                <w:kern w:val="0"/>
                <w:sz w:val="18"/>
                <w:szCs w:val="18"/>
                <w:lang w:bidi="ar"/>
              </w:rPr>
              <w:t xml:space="preserve"> 年度资金总额：</w:t>
            </w:r>
          </w:p>
        </w:tc>
        <w:tc>
          <w:tcPr>
            <w:tcW w:w="3713" w:type="dxa"/>
            <w:gridSpan w:val="2"/>
            <w:noWrap w:val="0"/>
            <w:vAlign w:val="center"/>
          </w:tcPr>
          <w:p>
            <w:pPr>
              <w:spacing w:line="260" w:lineRule="exact"/>
              <w:jc w:val="center"/>
              <w:rPr>
                <w:rFonts w:hint="default" w:ascii="宋体" w:eastAsia="宋体" w:cs="宋体"/>
                <w:sz w:val="18"/>
                <w:szCs w:val="18"/>
                <w:lang w:val="en-US" w:eastAsia="zh-CN"/>
              </w:rPr>
            </w:pPr>
            <w:r>
              <w:rPr>
                <w:rFonts w:hint="eastAsia" w:ascii="宋体" w:cs="宋体"/>
                <w:sz w:val="18"/>
                <w:szCs w:val="18"/>
                <w:lang w:val="en-US" w:eastAsia="zh-CN"/>
              </w:rPr>
              <w:t>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443" w:type="dxa"/>
            <w:gridSpan w:val="3"/>
            <w:vMerge w:val="continue"/>
            <w:noWrap w:val="0"/>
            <w:vAlign w:val="center"/>
          </w:tcPr>
          <w:p>
            <w:pPr>
              <w:spacing w:line="260" w:lineRule="exact"/>
              <w:jc w:val="center"/>
              <w:rPr>
                <w:rFonts w:ascii="宋体" w:cs="宋体"/>
                <w:sz w:val="18"/>
                <w:szCs w:val="18"/>
              </w:rPr>
            </w:pPr>
          </w:p>
        </w:tc>
        <w:tc>
          <w:tcPr>
            <w:tcW w:w="3864" w:type="dxa"/>
            <w:gridSpan w:val="2"/>
            <w:noWrap w:val="0"/>
            <w:vAlign w:val="center"/>
          </w:tcPr>
          <w:p>
            <w:pPr>
              <w:spacing w:line="260" w:lineRule="exact"/>
              <w:jc w:val="left"/>
              <w:textAlignment w:val="center"/>
              <w:rPr>
                <w:rFonts w:ascii="宋体" w:cs="宋体"/>
                <w:sz w:val="18"/>
                <w:szCs w:val="18"/>
              </w:rPr>
            </w:pPr>
            <w:r>
              <w:rPr>
                <w:rFonts w:hint="eastAsia" w:ascii="宋体" w:hAnsi="宋体" w:cs="宋体"/>
                <w:color w:val="000000"/>
                <w:kern w:val="0"/>
                <w:sz w:val="18"/>
                <w:szCs w:val="18"/>
                <w:lang w:bidi="ar"/>
              </w:rPr>
              <w:t xml:space="preserve">   其中：财政拨款</w:t>
            </w:r>
          </w:p>
        </w:tc>
        <w:tc>
          <w:tcPr>
            <w:tcW w:w="3713" w:type="dxa"/>
            <w:gridSpan w:val="2"/>
            <w:noWrap w:val="0"/>
            <w:vAlign w:val="center"/>
          </w:tcPr>
          <w:p>
            <w:pPr>
              <w:spacing w:line="260" w:lineRule="exact"/>
              <w:jc w:val="center"/>
              <w:rPr>
                <w:rFonts w:ascii="宋体" w:cs="宋体"/>
                <w:sz w:val="18"/>
                <w:szCs w:val="18"/>
              </w:rPr>
            </w:pPr>
            <w:r>
              <w:rPr>
                <w:rFonts w:hint="eastAsia" w:ascii="宋体" w:cs="宋体"/>
                <w:sz w:val="18"/>
                <w:szCs w:val="18"/>
                <w:lang w:val="en-US" w:eastAsia="zh-CN"/>
              </w:rPr>
              <w:t>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443" w:type="dxa"/>
            <w:gridSpan w:val="3"/>
            <w:vMerge w:val="continue"/>
            <w:noWrap w:val="0"/>
            <w:vAlign w:val="center"/>
          </w:tcPr>
          <w:p>
            <w:pPr>
              <w:spacing w:line="260" w:lineRule="exact"/>
              <w:jc w:val="center"/>
              <w:rPr>
                <w:rFonts w:ascii="宋体" w:cs="宋体"/>
                <w:sz w:val="18"/>
                <w:szCs w:val="18"/>
              </w:rPr>
            </w:pPr>
          </w:p>
        </w:tc>
        <w:tc>
          <w:tcPr>
            <w:tcW w:w="3864" w:type="dxa"/>
            <w:gridSpan w:val="2"/>
            <w:noWrap w:val="0"/>
            <w:vAlign w:val="center"/>
          </w:tcPr>
          <w:p>
            <w:pPr>
              <w:spacing w:line="260" w:lineRule="exact"/>
              <w:jc w:val="left"/>
              <w:textAlignment w:val="center"/>
              <w:rPr>
                <w:rFonts w:ascii="宋体" w:cs="宋体"/>
                <w:sz w:val="18"/>
                <w:szCs w:val="18"/>
              </w:rPr>
            </w:pPr>
            <w:r>
              <w:rPr>
                <w:rFonts w:hint="eastAsia" w:ascii="宋体" w:hAnsi="宋体" w:cs="宋体"/>
                <w:color w:val="000000"/>
                <w:kern w:val="0"/>
                <w:sz w:val="18"/>
                <w:szCs w:val="18"/>
                <w:lang w:bidi="ar"/>
              </w:rPr>
              <w:t xml:space="preserve">         上年结转</w:t>
            </w:r>
          </w:p>
        </w:tc>
        <w:tc>
          <w:tcPr>
            <w:tcW w:w="3713" w:type="dxa"/>
            <w:gridSpan w:val="2"/>
            <w:noWrap w:val="0"/>
            <w:vAlign w:val="center"/>
          </w:tcPr>
          <w:p>
            <w:pPr>
              <w:spacing w:line="260" w:lineRule="exact"/>
              <w:jc w:val="center"/>
              <w:rPr>
                <w:rFonts w:hint="eastAsia" w:ascii="宋体" w:eastAsia="宋体" w:cs="宋体"/>
                <w:sz w:val="18"/>
                <w:szCs w:val="18"/>
                <w:lang w:val="en-US" w:eastAsia="zh-CN"/>
              </w:rPr>
            </w:pPr>
            <w:r>
              <w:rPr>
                <w:rFonts w:hint="eastAsia" w:ascii="宋体" w:cs="宋体"/>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443" w:type="dxa"/>
            <w:gridSpan w:val="3"/>
            <w:vMerge w:val="continue"/>
            <w:noWrap w:val="0"/>
            <w:vAlign w:val="center"/>
          </w:tcPr>
          <w:p>
            <w:pPr>
              <w:spacing w:line="260" w:lineRule="exact"/>
              <w:jc w:val="center"/>
              <w:rPr>
                <w:rFonts w:ascii="宋体" w:cs="宋体"/>
                <w:sz w:val="18"/>
                <w:szCs w:val="18"/>
              </w:rPr>
            </w:pPr>
          </w:p>
        </w:tc>
        <w:tc>
          <w:tcPr>
            <w:tcW w:w="3864" w:type="dxa"/>
            <w:gridSpan w:val="2"/>
            <w:noWrap w:val="0"/>
            <w:vAlign w:val="center"/>
          </w:tcPr>
          <w:p>
            <w:pPr>
              <w:spacing w:line="260" w:lineRule="exact"/>
              <w:jc w:val="left"/>
              <w:textAlignment w:val="center"/>
              <w:rPr>
                <w:rFonts w:ascii="宋体" w:cs="宋体"/>
                <w:sz w:val="18"/>
                <w:szCs w:val="18"/>
              </w:rPr>
            </w:pPr>
            <w:r>
              <w:rPr>
                <w:rFonts w:hint="eastAsia" w:ascii="宋体" w:hAnsi="宋体" w:cs="宋体"/>
                <w:color w:val="000000"/>
                <w:kern w:val="0"/>
                <w:sz w:val="18"/>
                <w:szCs w:val="18"/>
                <w:lang w:bidi="ar"/>
              </w:rPr>
              <w:t xml:space="preserve">         其他资金</w:t>
            </w:r>
          </w:p>
        </w:tc>
        <w:tc>
          <w:tcPr>
            <w:tcW w:w="3713" w:type="dxa"/>
            <w:gridSpan w:val="2"/>
            <w:noWrap w:val="0"/>
            <w:vAlign w:val="center"/>
          </w:tcPr>
          <w:p>
            <w:pPr>
              <w:spacing w:line="260" w:lineRule="exact"/>
              <w:jc w:val="center"/>
              <w:rPr>
                <w:rFonts w:hint="eastAsia" w:ascii="宋体" w:eastAsia="宋体" w:cs="宋体"/>
                <w:sz w:val="18"/>
                <w:szCs w:val="18"/>
                <w:lang w:val="en-US" w:eastAsia="zh-CN"/>
              </w:rPr>
            </w:pPr>
            <w:r>
              <w:rPr>
                <w:rFonts w:hint="eastAsia" w:ascii="宋体" w:cs="宋体"/>
                <w:sz w:val="18"/>
                <w:szCs w:val="18"/>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5" w:hRule="atLeast"/>
        </w:trPr>
        <w:tc>
          <w:tcPr>
            <w:tcW w:w="438" w:type="dxa"/>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年度</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目标</w:t>
            </w:r>
          </w:p>
        </w:tc>
        <w:tc>
          <w:tcPr>
            <w:tcW w:w="8582" w:type="dxa"/>
            <w:gridSpan w:val="6"/>
            <w:noWrap w:val="0"/>
            <w:vAlign w:val="center"/>
          </w:tcPr>
          <w:p>
            <w:pPr>
              <w:tabs>
                <w:tab w:val="left" w:pos="3572"/>
              </w:tabs>
              <w:spacing w:line="260" w:lineRule="exact"/>
              <w:jc w:val="left"/>
              <w:rPr>
                <w:rFonts w:hint="eastAsia" w:ascii="宋体" w:eastAsia="宋体" w:cs="宋体"/>
                <w:sz w:val="18"/>
                <w:szCs w:val="18"/>
                <w:lang w:eastAsia="zh-CN"/>
              </w:rPr>
            </w:pPr>
            <w:r>
              <w:rPr>
                <w:rFonts w:hint="eastAsia" w:ascii="宋体" w:cs="宋体"/>
                <w:sz w:val="18"/>
                <w:szCs w:val="18"/>
                <w:lang w:eastAsia="zh-CN"/>
              </w:rPr>
              <w:t>围绕生态文明、污染防治、防灾减灾、食品安全等主题开展群众性科普活动；保障2024年全国科普日、全国科技活动周活动，智爱妈妈行动、农村少儿爱科学、科普惠农乡村行等活动正常开展；组织人员参加省、市青少年科技创新大赛，青少年机器人竞赛等科技竞赛活动，组织人员参加全国农民网络知识竞赛活动；推广科普中国应用和科技志愿服务平台使用；对重大科普活动和重要工作会议加大宣传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438" w:type="dxa"/>
            <w:vMerge w:val="restart"/>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绩</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效</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指</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标</w:t>
            </w:r>
          </w:p>
        </w:tc>
        <w:tc>
          <w:tcPr>
            <w:tcW w:w="723" w:type="dxa"/>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一级</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指标</w:t>
            </w:r>
          </w:p>
        </w:tc>
        <w:tc>
          <w:tcPr>
            <w:tcW w:w="1056" w:type="dxa"/>
            <w:gridSpan w:val="2"/>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二级指标</w:t>
            </w:r>
          </w:p>
        </w:tc>
        <w:tc>
          <w:tcPr>
            <w:tcW w:w="3090" w:type="dxa"/>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三级指标</w:t>
            </w:r>
          </w:p>
        </w:tc>
        <w:tc>
          <w:tcPr>
            <w:tcW w:w="3713" w:type="dxa"/>
            <w:gridSpan w:val="2"/>
            <w:noWrap w:val="0"/>
            <w:vAlign w:val="center"/>
          </w:tcPr>
          <w:p>
            <w:pPr>
              <w:spacing w:line="260" w:lineRule="exact"/>
              <w:jc w:val="center"/>
              <w:textAlignment w:val="center"/>
              <w:rPr>
                <w:rFonts w:ascii="宋体" w:cs="宋体"/>
                <w:sz w:val="18"/>
                <w:szCs w:val="18"/>
              </w:rPr>
            </w:pPr>
            <w:r>
              <w:rPr>
                <w:rFonts w:hint="eastAsia" w:ascii="宋体" w:hAnsi="宋体" w:cs="宋体"/>
                <w:color w:val="000000"/>
                <w:kern w:val="0"/>
                <w:sz w:val="18"/>
                <w:szCs w:val="18"/>
                <w:lang w:bidi="ar"/>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restart"/>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cs="宋体"/>
                <w:color w:val="000000"/>
                <w:kern w:val="0"/>
                <w:sz w:val="18"/>
                <w:szCs w:val="18"/>
                <w:lang w:bidi="ar"/>
              </w:rPr>
              <w:t>产出指标</w:t>
            </w:r>
          </w:p>
        </w:tc>
        <w:tc>
          <w:tcPr>
            <w:tcW w:w="1056" w:type="dxa"/>
            <w:gridSpan w:val="2"/>
            <w:vMerge w:val="restart"/>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cs="宋体"/>
                <w:color w:val="000000"/>
                <w:kern w:val="0"/>
                <w:sz w:val="18"/>
                <w:szCs w:val="18"/>
                <w:lang w:bidi="ar"/>
              </w:rPr>
              <w:t>数量指标</w:t>
            </w: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全县开展全国科普日主场活动和系列活动</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≥200场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科技志愿服务平台活动</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≥2500场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汉仪中秀体简" w:hAnsi="汉仪中秀体简" w:eastAsia="汉仪中秀体简" w:cs="汉仪中秀体简"/>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新增科技志愿服务平台志愿者</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≥500人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汉仪中秀体简" w:hAnsi="汉仪中秀体简" w:eastAsia="汉仪中秀体简" w:cs="汉仪中秀体简"/>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科普中国传播量</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≥200万次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汉仪中秀体简" w:hAnsi="汉仪中秀体简" w:eastAsia="汉仪中秀体简" w:cs="汉仪中秀体简"/>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科普中国月活量</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≥8000人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汉仪中秀体简" w:hAnsi="汉仪中秀体简" w:eastAsia="汉仪中秀体简" w:cs="汉仪中秀体简"/>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开展科普为民惠民乡村行、智爱妈妈行动和农村少儿爱科学活动</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≥6场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cs="宋体"/>
                <w:color w:val="000000"/>
                <w:kern w:val="0"/>
                <w:sz w:val="18"/>
                <w:szCs w:val="18"/>
                <w:lang w:bidi="ar"/>
              </w:rPr>
              <w:t>质量指标</w:t>
            </w: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各项工作任务完成度</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cs="宋体"/>
                <w:color w:val="000000"/>
                <w:kern w:val="0"/>
                <w:sz w:val="18"/>
                <w:szCs w:val="18"/>
                <w:lang w:bidi="ar"/>
              </w:rPr>
              <w:t>时效指标</w:t>
            </w: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各项任务完成时间</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18"/>
                <w:szCs w:val="18"/>
                <w:u w:val="none"/>
                <w:lang w:val="en-US" w:eastAsia="zh-CN" w:bidi="ar"/>
              </w:rPr>
              <w:t>202</w:t>
            </w:r>
            <w:r>
              <w:rPr>
                <w:rFonts w:hint="eastAsia" w:ascii="宋体" w:hAnsi="宋体" w:cs="宋体"/>
                <w:i w:val="0"/>
                <w:color w:val="000000"/>
                <w:kern w:val="0"/>
                <w:sz w:val="18"/>
                <w:szCs w:val="18"/>
                <w:u w:val="none"/>
                <w:lang w:val="en-US" w:eastAsia="zh-CN" w:bidi="ar"/>
              </w:rPr>
              <w:t>4</w:t>
            </w:r>
            <w:r>
              <w:rPr>
                <w:rFonts w:hint="eastAsia" w:ascii="宋体" w:hAnsi="宋体" w:eastAsia="宋体" w:cs="宋体"/>
                <w:i w:val="0"/>
                <w:color w:val="000000"/>
                <w:kern w:val="0"/>
                <w:sz w:val="18"/>
                <w:szCs w:val="18"/>
                <w:u w:val="none"/>
                <w:lang w:val="en-US" w:eastAsia="zh-CN" w:bidi="ar"/>
              </w:rPr>
              <w:t>年12月31日前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cs="宋体"/>
                <w:color w:val="000000"/>
                <w:kern w:val="0"/>
                <w:sz w:val="18"/>
                <w:szCs w:val="18"/>
                <w:lang w:bidi="ar"/>
              </w:rPr>
              <w:t>成本指标</w:t>
            </w: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各项工作经费支出</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控制</w:t>
            </w:r>
            <w:r>
              <w:rPr>
                <w:rFonts w:hint="eastAsia" w:ascii="宋体" w:hAnsi="宋体" w:cs="宋体"/>
                <w:i w:val="0"/>
                <w:color w:val="000000"/>
                <w:kern w:val="0"/>
                <w:sz w:val="20"/>
                <w:szCs w:val="20"/>
                <w:u w:val="none"/>
                <w:lang w:val="en-US" w:eastAsia="zh-CN" w:bidi="ar"/>
              </w:rPr>
              <w:t>在</w:t>
            </w:r>
            <w:r>
              <w:rPr>
                <w:rFonts w:hint="eastAsia" w:ascii="宋体" w:hAnsi="宋体" w:eastAsia="宋体" w:cs="宋体"/>
                <w:i w:val="0"/>
                <w:color w:val="000000"/>
                <w:kern w:val="0"/>
                <w:sz w:val="20"/>
                <w:szCs w:val="20"/>
                <w:u w:val="none"/>
                <w:lang w:val="en-US" w:eastAsia="zh-CN" w:bidi="ar"/>
              </w:rPr>
              <w:t>预算内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restart"/>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cs="宋体"/>
                <w:color w:val="000000"/>
                <w:kern w:val="0"/>
                <w:sz w:val="18"/>
                <w:szCs w:val="18"/>
                <w:lang w:bidi="ar"/>
              </w:rPr>
              <w:t>效益指标</w:t>
            </w:r>
          </w:p>
        </w:tc>
        <w:tc>
          <w:tcPr>
            <w:tcW w:w="1056" w:type="dxa"/>
            <w:gridSpan w:val="2"/>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cs="宋体"/>
                <w:color w:val="000000"/>
                <w:kern w:val="0"/>
                <w:sz w:val="18"/>
                <w:szCs w:val="18"/>
                <w:lang w:bidi="ar"/>
              </w:rPr>
              <w:t>经济效益指标</w:t>
            </w: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该指标不适用本项目</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 xml:space="preserve"> 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vMerge w:val="restart"/>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cs="宋体"/>
                <w:color w:val="000000"/>
                <w:kern w:val="0"/>
                <w:sz w:val="18"/>
                <w:szCs w:val="18"/>
                <w:lang w:bidi="ar"/>
              </w:rPr>
              <w:t>社会效益指标</w:t>
            </w: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提升县科协科普服务工作能力</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效果明显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提升全民科学素质普及率和公民科学素质水平</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效果明显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cs="宋体"/>
                <w:color w:val="000000"/>
                <w:kern w:val="0"/>
                <w:sz w:val="18"/>
                <w:szCs w:val="18"/>
                <w:lang w:bidi="ar"/>
              </w:rPr>
              <w:t>生态效益指标</w:t>
            </w: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该指标不适用本项目</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 xml:space="preserve"> 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438" w:type="dxa"/>
            <w:vMerge w:val="continue"/>
            <w:noWrap w:val="0"/>
            <w:vAlign w:val="center"/>
          </w:tcPr>
          <w:p>
            <w:pPr>
              <w:spacing w:line="260" w:lineRule="exact"/>
              <w:jc w:val="center"/>
              <w:rPr>
                <w:rFonts w:ascii="宋体" w:cs="宋体"/>
                <w:sz w:val="18"/>
                <w:szCs w:val="18"/>
              </w:rPr>
            </w:pPr>
          </w:p>
        </w:tc>
        <w:tc>
          <w:tcPr>
            <w:tcW w:w="723"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ascii="宋体" w:cs="宋体"/>
                <w:sz w:val="18"/>
                <w:szCs w:val="18"/>
              </w:rPr>
            </w:pPr>
          </w:p>
        </w:tc>
        <w:tc>
          <w:tcPr>
            <w:tcW w:w="1056" w:type="dxa"/>
            <w:gridSpan w:val="2"/>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hint="eastAsia" w:ascii="宋体" w:hAnsi="宋体" w:cs="宋体"/>
                <w:sz w:val="18"/>
                <w:szCs w:val="18"/>
              </w:rPr>
            </w:pPr>
            <w:r>
              <w:rPr>
                <w:rFonts w:hint="eastAsia" w:ascii="宋体" w:hAnsi="宋体" w:cs="宋体"/>
                <w:sz w:val="18"/>
                <w:szCs w:val="18"/>
              </w:rPr>
              <w:t>可持续影响指标</w:t>
            </w: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hint="eastAsia" w:ascii="宋体" w:hAnsi="宋体" w:cs="宋体"/>
                <w:sz w:val="18"/>
                <w:szCs w:val="18"/>
              </w:rPr>
            </w:pPr>
            <w:r>
              <w:rPr>
                <w:rFonts w:hint="eastAsia" w:ascii="宋体" w:hAnsi="宋体" w:eastAsia="宋体" w:cs="宋体"/>
                <w:i w:val="0"/>
                <w:color w:val="000000"/>
                <w:kern w:val="0"/>
                <w:sz w:val="20"/>
                <w:szCs w:val="20"/>
                <w:u w:val="none"/>
                <w:lang w:val="en-US" w:eastAsia="zh-CN" w:bidi="ar"/>
              </w:rPr>
              <w:t>保障全民科学素质普及率和公民科学素质水平稳步提升</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效果明显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438" w:type="dxa"/>
            <w:vMerge w:val="continue"/>
            <w:noWrap w:val="0"/>
            <w:vAlign w:val="center"/>
          </w:tcPr>
          <w:p>
            <w:pPr>
              <w:spacing w:line="260" w:lineRule="exact"/>
              <w:jc w:val="center"/>
              <w:rPr>
                <w:rFonts w:ascii="宋体" w:cs="宋体"/>
                <w:sz w:val="18"/>
                <w:szCs w:val="18"/>
              </w:rPr>
            </w:pPr>
          </w:p>
        </w:tc>
        <w:tc>
          <w:tcPr>
            <w:tcW w:w="723" w:type="dxa"/>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hint="eastAsia" w:ascii="宋体" w:hAnsi="宋体" w:cs="宋体"/>
                <w:sz w:val="18"/>
                <w:szCs w:val="18"/>
              </w:rPr>
            </w:pPr>
            <w:r>
              <w:rPr>
                <w:rFonts w:hint="eastAsia" w:ascii="宋体" w:hAnsi="宋体" w:cs="宋体"/>
                <w:sz w:val="18"/>
                <w:szCs w:val="18"/>
              </w:rPr>
              <w:t>满意度指标</w:t>
            </w:r>
          </w:p>
        </w:tc>
        <w:tc>
          <w:tcPr>
            <w:tcW w:w="1056" w:type="dxa"/>
            <w:gridSpan w:val="2"/>
            <w:noWrap w:val="0"/>
            <w:vAlign w:val="center"/>
          </w:tcPr>
          <w:p>
            <w:pPr>
              <w:keepNext w:val="0"/>
              <w:keepLines w:val="0"/>
              <w:pageBreakBefore w:val="0"/>
              <w:kinsoku/>
              <w:wordWrap/>
              <w:overflowPunct/>
              <w:topLinePunct w:val="0"/>
              <w:autoSpaceDE/>
              <w:autoSpaceDN/>
              <w:bidi w:val="0"/>
              <w:adjustRightInd w:val="0"/>
              <w:snapToGrid w:val="0"/>
              <w:spacing w:line="200" w:lineRule="atLeast"/>
              <w:jc w:val="center"/>
              <w:rPr>
                <w:rFonts w:hint="eastAsia" w:ascii="宋体" w:hAnsi="宋体" w:cs="宋体"/>
                <w:sz w:val="18"/>
                <w:szCs w:val="18"/>
              </w:rPr>
            </w:pPr>
            <w:r>
              <w:rPr>
                <w:rFonts w:hint="eastAsia" w:ascii="宋体" w:hAnsi="宋体" w:cs="宋体"/>
                <w:sz w:val="18"/>
                <w:szCs w:val="18"/>
              </w:rPr>
              <w:t>满意度指标</w:t>
            </w:r>
          </w:p>
        </w:tc>
        <w:tc>
          <w:tcPr>
            <w:tcW w:w="309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left"/>
              <w:textAlignment w:val="center"/>
              <w:rPr>
                <w:rFonts w:hint="eastAsia" w:ascii="宋体" w:hAnsi="宋体" w:cs="宋体"/>
                <w:sz w:val="18"/>
                <w:szCs w:val="18"/>
              </w:rPr>
            </w:pPr>
            <w:r>
              <w:rPr>
                <w:rFonts w:hint="eastAsia" w:ascii="宋体" w:hAnsi="宋体" w:eastAsia="宋体" w:cs="宋体"/>
                <w:i w:val="0"/>
                <w:color w:val="000000"/>
                <w:kern w:val="0"/>
                <w:sz w:val="20"/>
                <w:szCs w:val="20"/>
                <w:u w:val="none"/>
                <w:lang w:val="en-US" w:eastAsia="zh-CN" w:bidi="ar"/>
              </w:rPr>
              <w:t>人民群众对科普工作满意度</w:t>
            </w:r>
          </w:p>
        </w:tc>
        <w:tc>
          <w:tcPr>
            <w:tcW w:w="3713" w:type="dxa"/>
            <w:gridSpan w:val="2"/>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200" w:lineRule="atLeast"/>
              <w:jc w:val="center"/>
              <w:textAlignment w:val="center"/>
              <w:rPr>
                <w:rFonts w:ascii="宋体" w:cs="宋体"/>
                <w:sz w:val="18"/>
                <w:szCs w:val="18"/>
              </w:rPr>
            </w:pPr>
            <w:r>
              <w:rPr>
                <w:rFonts w:hint="eastAsia" w:ascii="宋体" w:hAnsi="宋体" w:eastAsia="宋体" w:cs="宋体"/>
                <w:i w:val="0"/>
                <w:color w:val="000000"/>
                <w:kern w:val="0"/>
                <w:sz w:val="20"/>
                <w:szCs w:val="20"/>
                <w:u w:val="none"/>
                <w:lang w:val="en-US" w:eastAsia="zh-CN" w:bidi="ar"/>
              </w:rPr>
              <w:t xml:space="preserve"> ≥95%</w:t>
            </w:r>
          </w:p>
        </w:tc>
      </w:tr>
    </w:tbl>
    <w:p>
      <w:pPr>
        <w:topLinePunct/>
        <w:adjustRightInd w:val="0"/>
        <w:snapToGrid w:val="0"/>
        <w:spacing w:line="560" w:lineRule="exact"/>
        <w:ind w:firstLine="643" w:firstLineChars="200"/>
        <w:rPr>
          <w:rFonts w:hint="eastAsia" w:ascii="仿宋_GB2312" w:hAnsi="TimesNewRoman" w:eastAsia="仿宋_GB2312" w:cs="TimesNewRoman"/>
          <w:b/>
          <w:sz w:val="32"/>
          <w:szCs w:val="32"/>
        </w:rPr>
      </w:pPr>
      <w:r>
        <w:rPr>
          <w:rFonts w:hint="eastAsia" w:ascii="仿宋_GB2312" w:hAnsi="TimesNewRoman" w:eastAsia="仿宋_GB2312" w:cs="TimesNewRoman"/>
          <w:b/>
          <w:sz w:val="32"/>
          <w:szCs w:val="32"/>
        </w:rPr>
        <w:t>（二）机关运行经费。</w:t>
      </w:r>
    </w:p>
    <w:p>
      <w:pPr>
        <w:topLinePunct/>
        <w:adjustRightInd w:val="0"/>
        <w:snapToGrid w:val="0"/>
        <w:spacing w:line="56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kern w:val="0"/>
          <w:sz w:val="32"/>
          <w:szCs w:val="32"/>
          <w:lang w:eastAsia="zh-CN"/>
        </w:rPr>
        <w:t>寿县科学技术协会</w:t>
      </w:r>
      <w:r>
        <w:rPr>
          <w:rFonts w:hint="eastAsia" w:ascii="仿宋_GB2312" w:hAnsi="TimesNewRoman" w:eastAsia="仿宋_GB2312" w:cs="TimesNewRoman"/>
          <w:sz w:val="32"/>
          <w:szCs w:val="32"/>
        </w:rPr>
        <w:t>2024年机关运行经费财政拨款预算</w:t>
      </w:r>
      <w:r>
        <w:rPr>
          <w:rFonts w:hint="eastAsia" w:ascii="仿宋_GB2312" w:hAnsi="TimesNewRoman" w:eastAsia="仿宋_GB2312" w:cs="TimesNewRoman"/>
          <w:sz w:val="32"/>
          <w:szCs w:val="32"/>
          <w:lang w:val="en-US" w:eastAsia="zh-CN"/>
        </w:rPr>
        <w:t>8.47</w:t>
      </w:r>
      <w:r>
        <w:rPr>
          <w:rFonts w:hint="eastAsia" w:ascii="仿宋_GB2312" w:hAnsi="TimesNewRoman" w:eastAsia="仿宋_GB2312" w:cs="TimesNewRoman"/>
          <w:sz w:val="32"/>
          <w:szCs w:val="32"/>
        </w:rPr>
        <w:t>万元，比2023年预算增加</w:t>
      </w:r>
      <w:r>
        <w:rPr>
          <w:rFonts w:hint="eastAsia" w:ascii="仿宋_GB2312" w:hAnsi="TimesNewRoman" w:eastAsia="仿宋_GB2312" w:cs="TimesNewRoman"/>
          <w:sz w:val="32"/>
          <w:szCs w:val="32"/>
          <w:lang w:val="en-US" w:eastAsia="zh-CN"/>
        </w:rPr>
        <w:t>0.26</w:t>
      </w:r>
      <w:r>
        <w:rPr>
          <w:rFonts w:hint="eastAsia" w:ascii="仿宋_GB2312" w:hAnsi="TimesNewRoman" w:eastAsia="仿宋_GB2312" w:cs="TimesNewRoman"/>
          <w:sz w:val="32"/>
          <w:szCs w:val="32"/>
        </w:rPr>
        <w:t>万元，增长</w:t>
      </w:r>
      <w:r>
        <w:rPr>
          <w:rFonts w:hint="eastAsia" w:ascii="仿宋_GB2312" w:hAnsi="TimesNewRoman" w:eastAsia="仿宋_GB2312" w:cs="TimesNewRoman"/>
          <w:sz w:val="32"/>
          <w:szCs w:val="32"/>
          <w:lang w:val="en-US" w:eastAsia="zh-CN"/>
        </w:rPr>
        <w:t>3.17</w:t>
      </w:r>
      <w:r>
        <w:rPr>
          <w:rFonts w:hint="eastAsia" w:ascii="仿宋_GB2312" w:hAnsi="TimesNewRoman" w:eastAsia="仿宋_GB2312" w:cs="TimesNewRoman"/>
          <w:sz w:val="32"/>
          <w:szCs w:val="32"/>
        </w:rPr>
        <w:t>%，增长主要原因是</w:t>
      </w:r>
      <w:r>
        <w:rPr>
          <w:rFonts w:hint="eastAsia" w:ascii="仿宋_GB2312" w:hAnsi="TimesNewRoman" w:eastAsia="仿宋_GB2312" w:cs="TimesNewRoman"/>
          <w:sz w:val="32"/>
          <w:szCs w:val="32"/>
          <w:lang w:val="en-US" w:eastAsia="zh-CN"/>
        </w:rPr>
        <w:t>其他交通费支出增加</w:t>
      </w:r>
      <w:r>
        <w:rPr>
          <w:rFonts w:hint="eastAsia" w:ascii="仿宋_GB2312" w:hAnsi="TimesNewRoman" w:eastAsia="仿宋_GB2312" w:cs="TimesNewRoman"/>
          <w:sz w:val="32"/>
          <w:szCs w:val="32"/>
        </w:rPr>
        <w:t>。</w:t>
      </w:r>
    </w:p>
    <w:p>
      <w:pPr>
        <w:topLinePunct/>
        <w:adjustRightInd w:val="0"/>
        <w:snapToGrid w:val="0"/>
        <w:spacing w:line="560" w:lineRule="exact"/>
        <w:ind w:firstLine="643" w:firstLineChars="200"/>
        <w:rPr>
          <w:rFonts w:hint="eastAsia" w:ascii="仿宋_GB2312" w:hAnsi="TimesNewRoman" w:eastAsia="仿宋_GB2312" w:cs="TimesNewRoman"/>
          <w:b/>
          <w:sz w:val="32"/>
          <w:szCs w:val="32"/>
        </w:rPr>
      </w:pPr>
      <w:r>
        <w:rPr>
          <w:rFonts w:hint="eastAsia" w:ascii="仿宋_GB2312" w:hAnsi="TimesNewRoman" w:eastAsia="仿宋_GB2312" w:cs="TimesNewRoman"/>
          <w:b/>
          <w:sz w:val="32"/>
          <w:szCs w:val="32"/>
        </w:rPr>
        <w:t>（三）政府采购情况。</w:t>
      </w:r>
    </w:p>
    <w:p>
      <w:pPr>
        <w:topLinePunct/>
        <w:adjustRightInd w:val="0"/>
        <w:snapToGrid w:val="0"/>
        <w:spacing w:line="56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kern w:val="0"/>
          <w:sz w:val="32"/>
          <w:szCs w:val="32"/>
          <w:lang w:eastAsia="zh-CN"/>
        </w:rPr>
        <w:t>寿县科学技术协会</w:t>
      </w:r>
      <w:r>
        <w:rPr>
          <w:rFonts w:hint="eastAsia" w:ascii="仿宋_GB2312" w:hAnsi="TimesNewRoman" w:eastAsia="仿宋_GB2312" w:cs="TimesNewRoman"/>
          <w:sz w:val="32"/>
          <w:szCs w:val="32"/>
        </w:rPr>
        <w:t>2024年政府采购预算</w:t>
      </w:r>
      <w:r>
        <w:rPr>
          <w:rFonts w:hint="eastAsia" w:ascii="仿宋_GB2312" w:hAnsi="TimesNewRoman" w:eastAsia="仿宋_GB2312" w:cs="TimesNewRoman"/>
          <w:sz w:val="32"/>
          <w:szCs w:val="32"/>
          <w:lang w:val="en-US" w:eastAsia="zh-CN"/>
        </w:rPr>
        <w:t>0.65</w:t>
      </w:r>
      <w:r>
        <w:rPr>
          <w:rFonts w:hint="eastAsia" w:ascii="仿宋_GB2312" w:hAnsi="TimesNewRoman" w:eastAsia="仿宋_GB2312" w:cs="TimesNewRoman"/>
          <w:sz w:val="32"/>
          <w:szCs w:val="32"/>
        </w:rPr>
        <w:t>万元。其中：政府采购货物预算</w:t>
      </w:r>
      <w:r>
        <w:rPr>
          <w:rFonts w:hint="eastAsia" w:ascii="仿宋_GB2312" w:hAnsi="TimesNewRoman" w:eastAsia="仿宋_GB2312" w:cs="TimesNewRoman"/>
          <w:sz w:val="32"/>
          <w:szCs w:val="32"/>
          <w:lang w:val="en-US" w:eastAsia="zh-CN"/>
        </w:rPr>
        <w:t>0.65</w:t>
      </w:r>
      <w:r>
        <w:rPr>
          <w:rFonts w:hint="eastAsia" w:ascii="仿宋_GB2312" w:hAnsi="TimesNewRoman" w:eastAsia="仿宋_GB2312" w:cs="TimesNewRoman"/>
          <w:sz w:val="32"/>
          <w:szCs w:val="32"/>
        </w:rPr>
        <w:t>元，政府采购工程预算</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万元，政府采购服务预算</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w:t>
      </w:r>
    </w:p>
    <w:p>
      <w:pPr>
        <w:topLinePunct/>
        <w:adjustRightInd w:val="0"/>
        <w:snapToGrid w:val="0"/>
        <w:spacing w:line="560" w:lineRule="exact"/>
        <w:ind w:firstLine="643" w:firstLineChars="200"/>
        <w:rPr>
          <w:rFonts w:hint="eastAsia" w:ascii="仿宋_GB2312" w:hAnsi="TimesNewRoman" w:eastAsia="仿宋_GB2312" w:cs="TimesNewRoman"/>
          <w:b/>
          <w:sz w:val="32"/>
          <w:szCs w:val="32"/>
        </w:rPr>
      </w:pPr>
      <w:r>
        <w:rPr>
          <w:rFonts w:hint="eastAsia" w:ascii="仿宋_GB2312" w:hAnsi="TimesNewRoman" w:eastAsia="仿宋_GB2312" w:cs="TimesNewRoman"/>
          <w:b/>
          <w:sz w:val="32"/>
          <w:szCs w:val="32"/>
        </w:rPr>
        <w:t>（四）国有资产占有使用情况。</w:t>
      </w:r>
    </w:p>
    <w:p>
      <w:pPr>
        <w:topLinePunct/>
        <w:adjustRightInd w:val="0"/>
        <w:snapToGrid w:val="0"/>
        <w:spacing w:line="56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截至2023年12月31日，</w:t>
      </w:r>
      <w:r>
        <w:rPr>
          <w:rFonts w:hint="eastAsia" w:ascii="仿宋_GB2312" w:hAnsi="TimesNewRoman" w:eastAsia="仿宋_GB2312" w:cs="TimesNewRoman"/>
          <w:kern w:val="0"/>
          <w:sz w:val="32"/>
          <w:szCs w:val="32"/>
          <w:lang w:eastAsia="zh-CN"/>
        </w:rPr>
        <w:t>寿县科学技术协会</w:t>
      </w:r>
      <w:r>
        <w:rPr>
          <w:rFonts w:hint="eastAsia" w:ascii="仿宋_GB2312" w:hAnsi="TimesNewRoman" w:eastAsia="仿宋_GB2312" w:cs="TimesNewRoman"/>
          <w:sz w:val="32"/>
          <w:szCs w:val="32"/>
        </w:rPr>
        <w:t>共有车辆</w:t>
      </w:r>
      <w:r>
        <w:rPr>
          <w:rFonts w:hint="eastAsia" w:ascii="仿宋_GB2312" w:hAnsi="TimesNewRoman" w:eastAsia="仿宋_GB2312" w:cs="TimesNewRoman"/>
          <w:sz w:val="32"/>
          <w:szCs w:val="32"/>
          <w:lang w:val="en-US" w:eastAsia="zh-CN"/>
        </w:rPr>
        <w:t>1</w:t>
      </w:r>
      <w:r>
        <w:rPr>
          <w:rFonts w:hint="eastAsia" w:ascii="仿宋_GB2312" w:hAnsi="TimesNewRoman" w:eastAsia="仿宋_GB2312" w:cs="TimesNewRoman"/>
          <w:sz w:val="32"/>
          <w:szCs w:val="32"/>
        </w:rPr>
        <w:t>辆，其中：其他用车</w:t>
      </w:r>
      <w:r>
        <w:rPr>
          <w:rFonts w:hint="eastAsia" w:ascii="仿宋_GB2312" w:hAnsi="TimesNewRoman" w:eastAsia="仿宋_GB2312" w:cs="TimesNewRoman"/>
          <w:sz w:val="32"/>
          <w:szCs w:val="32"/>
          <w:lang w:val="en-US" w:eastAsia="zh-CN"/>
        </w:rPr>
        <w:t>1</w:t>
      </w:r>
      <w:r>
        <w:rPr>
          <w:rFonts w:hint="eastAsia" w:ascii="仿宋_GB2312" w:hAnsi="TimesNewRoman" w:eastAsia="仿宋_GB2312" w:cs="TimesNewRoman"/>
          <w:sz w:val="32"/>
          <w:szCs w:val="32"/>
        </w:rPr>
        <w:t>辆。单价50万元以上的通用设备</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台（套），单价100万元以上的专用设备</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台（套）。</w:t>
      </w:r>
    </w:p>
    <w:p>
      <w:pPr>
        <w:topLinePunct/>
        <w:adjustRightInd w:val="0"/>
        <w:snapToGrid w:val="0"/>
        <w:spacing w:line="56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2024年</w:t>
      </w:r>
      <w:r>
        <w:rPr>
          <w:rFonts w:hint="eastAsia" w:ascii="仿宋_GB2312" w:hAnsi="TimesNewRoman" w:eastAsia="仿宋_GB2312" w:cs="TimesNewRoman"/>
          <w:sz w:val="32"/>
          <w:szCs w:val="32"/>
          <w:lang w:eastAsia="zh-CN"/>
        </w:rPr>
        <w:t>部门</w:t>
      </w:r>
      <w:r>
        <w:rPr>
          <w:rFonts w:hint="eastAsia" w:ascii="仿宋_GB2312" w:hAnsi="TimesNewRoman" w:eastAsia="仿宋_GB2312" w:cs="TimesNewRoman"/>
          <w:sz w:val="32"/>
          <w:szCs w:val="32"/>
        </w:rPr>
        <w:t>预算安排购置公务用车</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辆，购置费</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万元；安排购置单价50万元以上的通用设备</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台（套），购置费</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万元；安排购置单价100万元以上专用设备</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台（套），购置费</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w:t>
      </w:r>
    </w:p>
    <w:p>
      <w:pPr>
        <w:topLinePunct/>
        <w:adjustRightInd w:val="0"/>
        <w:snapToGrid w:val="0"/>
        <w:spacing w:line="560" w:lineRule="exact"/>
        <w:ind w:firstLine="643" w:firstLineChars="200"/>
        <w:rPr>
          <w:rFonts w:hint="eastAsia" w:ascii="仿宋_GB2312" w:hAnsi="TimesNewRoman" w:eastAsia="仿宋_GB2312" w:cs="TimesNewRoman"/>
          <w:b/>
          <w:sz w:val="32"/>
          <w:szCs w:val="32"/>
        </w:rPr>
      </w:pPr>
      <w:r>
        <w:rPr>
          <w:rFonts w:hint="eastAsia" w:ascii="仿宋_GB2312" w:hAnsi="TimesNewRoman" w:eastAsia="仿宋_GB2312" w:cs="TimesNewRoman"/>
          <w:b/>
          <w:sz w:val="32"/>
          <w:szCs w:val="32"/>
        </w:rPr>
        <w:t>（五）绩效目标设置情况。</w:t>
      </w:r>
    </w:p>
    <w:p>
      <w:pPr>
        <w:topLinePunct/>
        <w:adjustRightInd w:val="0"/>
        <w:snapToGrid w:val="0"/>
        <w:spacing w:line="560" w:lineRule="exact"/>
        <w:ind w:firstLine="640" w:firstLineChars="200"/>
        <w:rPr>
          <w:rFonts w:hint="eastAsia" w:ascii="仿宋_GB2312" w:hAnsi="TimesNewRoman" w:eastAsia="仿宋_GB2312" w:cs="TimesNewRoman"/>
          <w:sz w:val="32"/>
          <w:szCs w:val="32"/>
        </w:rPr>
      </w:pPr>
      <w:r>
        <w:rPr>
          <w:rFonts w:hint="eastAsia" w:ascii="仿宋_GB2312" w:hAnsi="TimesNewRoman" w:eastAsia="仿宋_GB2312" w:cs="TimesNewRoman"/>
          <w:sz w:val="32"/>
          <w:szCs w:val="32"/>
        </w:rPr>
        <w:t>2024年，</w:t>
      </w:r>
      <w:r>
        <w:rPr>
          <w:rFonts w:hint="eastAsia" w:ascii="仿宋_GB2312" w:hAnsi="TimesNewRoman" w:eastAsia="仿宋_GB2312" w:cs="TimesNewRoman"/>
          <w:kern w:val="0"/>
          <w:sz w:val="32"/>
          <w:szCs w:val="32"/>
          <w:lang w:eastAsia="zh-CN"/>
        </w:rPr>
        <w:t>寿县科学技术协会</w:t>
      </w:r>
      <w:r>
        <w:rPr>
          <w:rFonts w:hint="eastAsia" w:ascii="仿宋_GB2312" w:hAnsi="TimesNewRoman" w:eastAsia="仿宋_GB2312" w:cs="TimesNewRoman"/>
          <w:sz w:val="32"/>
          <w:szCs w:val="32"/>
          <w:lang w:val="en-US" w:eastAsia="zh-CN"/>
        </w:rPr>
        <w:t>1</w:t>
      </w:r>
      <w:r>
        <w:rPr>
          <w:rFonts w:hint="eastAsia" w:ascii="仿宋_GB2312" w:hAnsi="TimesNewRoman" w:eastAsia="仿宋_GB2312" w:cs="TimesNewRoman"/>
          <w:sz w:val="32"/>
          <w:szCs w:val="32"/>
        </w:rPr>
        <w:t>个项目实行了绩效目标管理，涉及一般公共预算当年财政拨款</w:t>
      </w:r>
      <w:r>
        <w:rPr>
          <w:rFonts w:hint="eastAsia" w:ascii="仿宋_GB2312" w:hAnsi="TimesNewRoman" w:eastAsia="仿宋_GB2312" w:cs="TimesNewRoman"/>
          <w:sz w:val="32"/>
          <w:szCs w:val="32"/>
          <w:lang w:val="en-US" w:eastAsia="zh-CN"/>
        </w:rPr>
        <w:t>46.5</w:t>
      </w:r>
      <w:r>
        <w:rPr>
          <w:rFonts w:hint="eastAsia" w:ascii="仿宋_GB2312" w:hAnsi="TimesNewRoman" w:eastAsia="仿宋_GB2312" w:cs="TimesNewRoman"/>
          <w:sz w:val="32"/>
          <w:szCs w:val="32"/>
        </w:rPr>
        <w:t>万元、政府性基金预算当年财政拨款</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万元、国有资本经营预算当年财政拨款</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万元、财政专户管理资金当年安排</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万元和单位资金当年安排</w:t>
      </w:r>
      <w:r>
        <w:rPr>
          <w:rFonts w:hint="eastAsia" w:ascii="仿宋_GB2312" w:hAnsi="TimesNewRoman" w:eastAsia="仿宋_GB2312" w:cs="TimesNewRoman"/>
          <w:sz w:val="32"/>
          <w:szCs w:val="32"/>
          <w:lang w:val="en-US" w:eastAsia="zh-CN"/>
        </w:rPr>
        <w:t>0</w:t>
      </w:r>
      <w:r>
        <w:rPr>
          <w:rFonts w:hint="eastAsia" w:ascii="仿宋_GB2312" w:hAnsi="TimesNewRoman" w:eastAsia="仿宋_GB2312" w:cs="TimesNewRoman"/>
          <w:sz w:val="32"/>
          <w:szCs w:val="32"/>
        </w:rPr>
        <w:t>万元。</w:t>
      </w:r>
    </w:p>
    <w:p>
      <w:pPr>
        <w:topLinePunct/>
        <w:adjustRightInd w:val="0"/>
        <w:snapToGrid w:val="0"/>
        <w:spacing w:line="560" w:lineRule="exact"/>
        <w:rPr>
          <w:rFonts w:ascii="TimesNewRoman" w:hAnsi="TimesNewRoman" w:eastAsia="黑体" w:cs="TimesNewRoman"/>
          <w:sz w:val="36"/>
          <w:szCs w:val="36"/>
        </w:rPr>
      </w:pPr>
    </w:p>
    <w:p>
      <w:pPr>
        <w:topLinePunct/>
        <w:adjustRightInd w:val="0"/>
        <w:snapToGrid w:val="0"/>
        <w:spacing w:line="560" w:lineRule="exact"/>
        <w:jc w:val="center"/>
        <w:rPr>
          <w:rFonts w:ascii="TimesNewRoman" w:hAnsi="TimesNewRoman" w:eastAsia="黑体" w:cs="TimesNewRoman"/>
          <w:sz w:val="36"/>
          <w:szCs w:val="36"/>
        </w:rPr>
      </w:pPr>
      <w:r>
        <w:rPr>
          <w:rFonts w:ascii="TimesNewRoman" w:hAnsi="TimesNewRoman" w:eastAsia="黑体" w:cs="TimesNewRoman"/>
          <w:sz w:val="36"/>
          <w:szCs w:val="36"/>
        </w:rPr>
        <w:t>第四部分 名词解释</w:t>
      </w:r>
    </w:p>
    <w:p>
      <w:pPr>
        <w:topLinePunct/>
        <w:adjustRightInd w:val="0"/>
        <w:snapToGrid w:val="0"/>
        <w:spacing w:line="560" w:lineRule="exact"/>
        <w:rPr>
          <w:rFonts w:ascii="TimesNewRoman" w:hAnsi="TimesNewRoman" w:eastAsia="黑体" w:cs="TimesNewRoman"/>
          <w:szCs w:val="32"/>
        </w:rPr>
      </w:pPr>
    </w:p>
    <w:p>
      <w:pPr>
        <w:topLinePunct/>
        <w:adjustRightInd w:val="0"/>
        <w:snapToGrid w:val="0"/>
        <w:spacing w:line="560" w:lineRule="exact"/>
        <w:ind w:firstLine="640" w:firstLineChars="200"/>
        <w:rPr>
          <w:rFonts w:ascii="TimesNewRoman" w:hAnsi="TimesNewRoman" w:cs="TimesNewRoman"/>
          <w:sz w:val="32"/>
          <w:szCs w:val="32"/>
        </w:rPr>
      </w:pPr>
      <w:r>
        <w:rPr>
          <w:rFonts w:hint="eastAsia" w:ascii="楷体_GB2312" w:hAnsi="TimesNewRoman" w:eastAsia="楷体_GB2312" w:cs="TimesNewRoman"/>
          <w:sz w:val="32"/>
          <w:szCs w:val="32"/>
        </w:rPr>
        <w:t>一、财政拨款收入</w:t>
      </w:r>
      <w:r>
        <w:rPr>
          <w:rFonts w:hint="eastAsia" w:ascii="楷体_GB2312" w:hAnsi="TimesNewRoman" w:eastAsia="楷体_GB2312" w:cs="TimesNewRoman"/>
          <w:b/>
          <w:sz w:val="32"/>
          <w:szCs w:val="32"/>
        </w:rPr>
        <w:t>：</w:t>
      </w:r>
      <w:r>
        <w:rPr>
          <w:rFonts w:ascii="TimesNewRoman" w:hAnsi="TimesNewRoman" w:cs="TimesNewRoman"/>
          <w:sz w:val="32"/>
          <w:szCs w:val="32"/>
        </w:rPr>
        <w:t>指部门或单位从同级财政部门取得的财政预算资金。</w:t>
      </w:r>
    </w:p>
    <w:p>
      <w:pPr>
        <w:pStyle w:val="3"/>
        <w:topLinePunct/>
        <w:adjustRightInd w:val="0"/>
        <w:snapToGrid w:val="0"/>
        <w:spacing w:beforeAutospacing="0" w:afterAutospacing="0" w:line="560" w:lineRule="exact"/>
        <w:ind w:firstLine="627" w:firstLineChars="196"/>
        <w:jc w:val="both"/>
        <w:rPr>
          <w:rFonts w:ascii="TimesNewRoman" w:hAnsi="TimesNewRoman" w:eastAsia="黑体" w:cs="TimesNewRoman"/>
          <w:sz w:val="32"/>
          <w:szCs w:val="32"/>
        </w:rPr>
      </w:pPr>
      <w:r>
        <w:rPr>
          <w:rFonts w:ascii="楷体_GB2312" w:hAnsi="TimesNewRoman" w:eastAsia="楷体_GB2312" w:cs="TimesNewRoman"/>
          <w:kern w:val="2"/>
          <w:sz w:val="32"/>
          <w:szCs w:val="32"/>
        </w:rPr>
        <w:t>二、事业收入：</w:t>
      </w:r>
      <w:r>
        <w:rPr>
          <w:rFonts w:ascii="TimesNewRoman" w:hAnsi="TimesNewRoman" w:eastAsia="仿宋_GB2312" w:cs="TimesNewRoman"/>
          <w:sz w:val="32"/>
          <w:szCs w:val="32"/>
        </w:rPr>
        <w:t>指事业单位开展专业业务活动及辅助活动所取得的收入。</w:t>
      </w:r>
    </w:p>
    <w:p>
      <w:pPr>
        <w:pStyle w:val="3"/>
        <w:topLinePunct/>
        <w:adjustRightInd w:val="0"/>
        <w:snapToGrid w:val="0"/>
        <w:spacing w:beforeAutospacing="0" w:afterAutospacing="0" w:line="560" w:lineRule="exact"/>
        <w:ind w:firstLine="627" w:firstLineChars="196"/>
        <w:jc w:val="both"/>
        <w:rPr>
          <w:rFonts w:ascii="TimesNewRoman" w:hAnsi="TimesNewRoman" w:eastAsia="仿宋_GB2312" w:cs="TimesNewRoman"/>
          <w:sz w:val="32"/>
          <w:szCs w:val="32"/>
        </w:rPr>
      </w:pPr>
      <w:r>
        <w:rPr>
          <w:rFonts w:ascii="楷体_GB2312" w:hAnsi="TimesNewRoman" w:eastAsia="楷体_GB2312" w:cs="TimesNewRoman"/>
          <w:kern w:val="2"/>
          <w:sz w:val="32"/>
          <w:szCs w:val="32"/>
        </w:rPr>
        <w:t>三、财政专户管理资金：</w:t>
      </w:r>
      <w:r>
        <w:rPr>
          <w:rFonts w:ascii="TimesNewRoman" w:hAnsi="TimesNewRoman" w:eastAsia="仿宋_GB2312" w:cs="TimesNewRoman"/>
          <w:sz w:val="32"/>
          <w:szCs w:val="32"/>
        </w:rPr>
        <w:t>指按照非税收入管理相关规定，纳入财政专户管理的教育收费等。</w:t>
      </w:r>
    </w:p>
    <w:p>
      <w:pPr>
        <w:pStyle w:val="3"/>
        <w:topLinePunct/>
        <w:adjustRightInd w:val="0"/>
        <w:snapToGrid w:val="0"/>
        <w:spacing w:beforeAutospacing="0" w:afterAutospacing="0" w:line="560" w:lineRule="exact"/>
        <w:ind w:firstLine="627" w:firstLineChars="196"/>
        <w:jc w:val="both"/>
        <w:rPr>
          <w:rFonts w:ascii="TimesNewRoman" w:hAnsi="TimesNewRoman" w:eastAsia="仿宋_GB2312" w:cs="TimesNewRoman"/>
          <w:sz w:val="32"/>
          <w:szCs w:val="32"/>
        </w:rPr>
      </w:pPr>
      <w:r>
        <w:rPr>
          <w:rFonts w:ascii="楷体_GB2312" w:hAnsi="TimesNewRoman" w:eastAsia="楷体_GB2312" w:cs="TimesNewRoman"/>
          <w:kern w:val="2"/>
          <w:sz w:val="32"/>
          <w:szCs w:val="32"/>
        </w:rPr>
        <w:t>四、事业单位经营收入：</w:t>
      </w:r>
      <w:r>
        <w:rPr>
          <w:rFonts w:ascii="TimesNewRoman" w:hAnsi="TimesNewRoman" w:eastAsia="仿宋_GB2312" w:cs="TimesNewRoman"/>
          <w:sz w:val="32"/>
          <w:szCs w:val="32"/>
        </w:rPr>
        <w:t>指事业单位在专业业务活动及其辅助活动之外开展非独立核算经营活动取得的收入。</w:t>
      </w:r>
    </w:p>
    <w:p>
      <w:pPr>
        <w:pStyle w:val="3"/>
        <w:topLinePunct/>
        <w:adjustRightInd w:val="0"/>
        <w:snapToGrid w:val="0"/>
        <w:spacing w:beforeAutospacing="0" w:afterAutospacing="0" w:line="560" w:lineRule="exact"/>
        <w:ind w:firstLine="627" w:firstLineChars="196"/>
        <w:jc w:val="both"/>
        <w:rPr>
          <w:rFonts w:ascii="TimesNewRoman" w:hAnsi="TimesNewRoman" w:eastAsia="仿宋_GB2312" w:cs="TimesNewRoman"/>
          <w:sz w:val="32"/>
          <w:szCs w:val="32"/>
        </w:rPr>
      </w:pPr>
      <w:r>
        <w:rPr>
          <w:rFonts w:ascii="楷体_GB2312" w:hAnsi="TimesNewRoman" w:eastAsia="楷体_GB2312" w:cs="TimesNewRoman"/>
          <w:kern w:val="2"/>
          <w:sz w:val="32"/>
          <w:szCs w:val="32"/>
        </w:rPr>
        <w:t>五、附属单位上缴收入：</w:t>
      </w:r>
      <w:r>
        <w:rPr>
          <w:rFonts w:ascii="TimesNewRoman" w:hAnsi="TimesNewRoman" w:eastAsia="仿宋_GB2312" w:cs="TimesNewRoman"/>
          <w:sz w:val="32"/>
          <w:szCs w:val="32"/>
        </w:rPr>
        <w:t>本单位所属下级单位上缴给本单位的全部收入。</w:t>
      </w:r>
    </w:p>
    <w:p>
      <w:pPr>
        <w:pStyle w:val="3"/>
        <w:topLinePunct/>
        <w:adjustRightInd w:val="0"/>
        <w:snapToGrid w:val="0"/>
        <w:spacing w:beforeAutospacing="0" w:afterAutospacing="0" w:line="560" w:lineRule="exact"/>
        <w:ind w:firstLine="627" w:firstLineChars="196"/>
        <w:jc w:val="both"/>
        <w:rPr>
          <w:rFonts w:ascii="TimesNewRoman" w:hAnsi="TimesNewRoman" w:eastAsia="仿宋_GB2312" w:cs="TimesNewRoman"/>
          <w:sz w:val="32"/>
          <w:szCs w:val="32"/>
        </w:rPr>
      </w:pPr>
      <w:r>
        <w:rPr>
          <w:rFonts w:ascii="楷体_GB2312" w:hAnsi="TimesNewRoman" w:eastAsia="楷体_GB2312" w:cs="TimesNewRoman"/>
          <w:kern w:val="2"/>
          <w:sz w:val="32"/>
          <w:szCs w:val="32"/>
        </w:rPr>
        <w:t>六、上年结转：</w:t>
      </w:r>
      <w:r>
        <w:rPr>
          <w:rFonts w:ascii="TimesNewRoman" w:hAnsi="TimesNewRoman" w:eastAsia="仿宋_GB2312" w:cs="TimesNewRoman"/>
          <w:sz w:val="32"/>
          <w:szCs w:val="32"/>
        </w:rPr>
        <w:t>指以前年度安排、结转到本年仍按原用途继续使用的资金。</w:t>
      </w:r>
    </w:p>
    <w:p>
      <w:pPr>
        <w:pStyle w:val="3"/>
        <w:topLinePunct/>
        <w:adjustRightInd w:val="0"/>
        <w:snapToGrid w:val="0"/>
        <w:spacing w:beforeAutospacing="0" w:afterAutospacing="0" w:line="560" w:lineRule="exact"/>
        <w:ind w:firstLine="627" w:firstLineChars="196"/>
        <w:jc w:val="both"/>
        <w:rPr>
          <w:rFonts w:ascii="TimesNewRoman" w:hAnsi="TimesNewRoman" w:eastAsia="仿宋_GB2312" w:cs="TimesNewRoman"/>
          <w:sz w:val="32"/>
          <w:szCs w:val="32"/>
        </w:rPr>
      </w:pPr>
      <w:r>
        <w:rPr>
          <w:rFonts w:ascii="楷体_GB2312" w:hAnsi="TimesNewRoman" w:eastAsia="楷体_GB2312" w:cs="TimesNewRoman"/>
          <w:kern w:val="2"/>
          <w:sz w:val="32"/>
          <w:szCs w:val="32"/>
        </w:rPr>
        <w:t>七、结转下年：</w:t>
      </w:r>
      <w:r>
        <w:rPr>
          <w:rFonts w:ascii="TimesNewRoman" w:hAnsi="TimesNewRoman" w:eastAsia="仿宋_GB2312" w:cs="TimesNewRoman"/>
          <w:sz w:val="32"/>
          <w:szCs w:val="32"/>
        </w:rPr>
        <w:t>指以前年度预算安排、因客观条件发生变化无法按原计划实施，需以后年度按原用途继续使用的资金。</w:t>
      </w:r>
    </w:p>
    <w:p>
      <w:pPr>
        <w:pStyle w:val="3"/>
        <w:topLinePunct/>
        <w:adjustRightInd w:val="0"/>
        <w:snapToGrid w:val="0"/>
        <w:spacing w:beforeAutospacing="0" w:afterAutospacing="0" w:line="560" w:lineRule="exact"/>
        <w:ind w:firstLine="627" w:firstLineChars="196"/>
        <w:jc w:val="both"/>
        <w:rPr>
          <w:rFonts w:ascii="TimesNewRoman" w:hAnsi="TimesNewRoman" w:eastAsia="仿宋_GB2312" w:cs="TimesNewRoman"/>
          <w:sz w:val="32"/>
          <w:szCs w:val="32"/>
        </w:rPr>
      </w:pPr>
      <w:r>
        <w:rPr>
          <w:rFonts w:ascii="楷体_GB2312" w:hAnsi="TimesNewRoman" w:eastAsia="楷体_GB2312" w:cs="TimesNewRoman"/>
          <w:kern w:val="2"/>
          <w:sz w:val="32"/>
          <w:szCs w:val="32"/>
        </w:rPr>
        <w:t>八、基本支出：</w:t>
      </w:r>
      <w:r>
        <w:rPr>
          <w:rFonts w:ascii="TimesNewRoman" w:hAnsi="TimesNewRoman" w:eastAsia="仿宋_GB2312" w:cs="TimesNewRoman"/>
          <w:sz w:val="32"/>
          <w:szCs w:val="32"/>
        </w:rPr>
        <w:t>指为保障机构正常运转、完成日常工作任务而发生的人员支出和公用支出。</w:t>
      </w:r>
    </w:p>
    <w:p>
      <w:pPr>
        <w:pStyle w:val="3"/>
        <w:topLinePunct/>
        <w:spacing w:beforeAutospacing="0" w:afterAutospacing="0" w:line="560" w:lineRule="exact"/>
        <w:ind w:firstLine="627" w:firstLineChars="196"/>
        <w:jc w:val="both"/>
        <w:rPr>
          <w:rFonts w:ascii="TimesNewRoman" w:hAnsi="TimesNewRoman" w:eastAsia="仿宋_GB2312" w:cs="TimesNewRoman"/>
          <w:sz w:val="32"/>
          <w:szCs w:val="32"/>
        </w:rPr>
      </w:pPr>
      <w:r>
        <w:rPr>
          <w:rFonts w:ascii="楷体_GB2312" w:hAnsi="TimesNewRoman" w:eastAsia="楷体_GB2312" w:cs="TimesNewRoman"/>
          <w:kern w:val="2"/>
          <w:sz w:val="32"/>
          <w:szCs w:val="32"/>
        </w:rPr>
        <w:t>九、项目支出：</w:t>
      </w:r>
      <w:r>
        <w:rPr>
          <w:rFonts w:ascii="TimesNewRoman" w:hAnsi="TimesNewRoman" w:eastAsia="仿宋_GB2312" w:cs="TimesNewRoman"/>
          <w:sz w:val="32"/>
          <w:szCs w:val="32"/>
        </w:rPr>
        <w:t>指在除基本支出之外的支出，主要用于完成特定的工作任务和事业发展目标。</w:t>
      </w:r>
      <w:r>
        <w:rPr>
          <w:rFonts w:ascii="TimesNewRoman" w:hAnsi="TimesNewRoman" w:eastAsia="仿宋_GB2312" w:cs="TimesNewRoman"/>
          <w:sz w:val="32"/>
          <w:szCs w:val="32"/>
        </w:rPr>
        <w:br w:type="textWrapping"/>
      </w:r>
      <w:r>
        <w:rPr>
          <w:rFonts w:ascii="楷体_GB2312" w:hAnsi="TimesNewRoman" w:eastAsia="楷体_GB2312" w:cs="TimesNewRoman"/>
          <w:kern w:val="2"/>
          <w:sz w:val="32"/>
          <w:szCs w:val="32"/>
        </w:rPr>
        <w:t xml:space="preserve">    十、机关运行经费:</w:t>
      </w:r>
      <w:r>
        <w:rPr>
          <w:rFonts w:ascii="TimesNewRoman" w:hAnsi="TimesNewRoman" w:eastAsia="仿宋_GB2312" w:cs="TimesNewRoman"/>
          <w:sz w:val="32"/>
          <w:szCs w:val="32"/>
        </w:rPr>
        <w:t>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pPr>
        <w:pStyle w:val="3"/>
        <w:topLinePunct/>
        <w:spacing w:beforeAutospacing="0" w:afterAutospacing="0" w:line="560" w:lineRule="exact"/>
        <w:ind w:firstLine="480" w:firstLineChars="150"/>
        <w:jc w:val="both"/>
        <w:rPr>
          <w:rStyle w:val="6"/>
          <w:rFonts w:ascii="TimesNewRoman" w:hAnsi="TimesNewRoman" w:eastAsia="楷体_GB2312" w:cs="TimesNewRoman"/>
          <w:b w:val="0"/>
          <w:sz w:val="32"/>
          <w:szCs w:val="32"/>
        </w:rPr>
      </w:pPr>
    </w:p>
    <w:p/>
    <w:sectPr>
      <w:footerReference r:id="rId5" w:type="default"/>
      <w:type w:val="oddPage"/>
      <w:pgSz w:w="11907" w:h="16840"/>
      <w:pgMar w:top="2098" w:right="1474" w:bottom="1985" w:left="1588" w:header="851" w:footer="102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NewRoman">
    <w:altName w:val="Segoe Print"/>
    <w:panose1 w:val="02020603050405020304"/>
    <w:charset w:val="00"/>
    <w:family w:val="auto"/>
    <w:pitch w:val="default"/>
    <w:sig w:usb0="00000000" w:usb1="00000000" w:usb2="00000029" w:usb3="00000000" w:csb0="600001FF" w:csb1="FFFF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汉仪中秀体简">
    <w:altName w:val="微软雅黑"/>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180"/>
      <w:jc w:val="right"/>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37</w:t>
    </w:r>
    <w:r>
      <w:rPr>
        <w:sz w:val="28"/>
        <w:szCs w:val="28"/>
      </w:rPr>
      <w:fldChar w:fldCharType="end"/>
    </w:r>
    <w:r>
      <w:rPr>
        <w:rFonts w:hint="eastAsia"/>
        <w:sz w:val="28"/>
        <w:szCs w:val="28"/>
      </w:rPr>
      <w:t xml:space="preserve"> </w:t>
    </w:r>
    <w:r>
      <w:rPr>
        <w:rFonts w:hint="eastAsia" w:ascii="宋体" w:hAnsi="宋体"/>
        <w:sz w:val="28"/>
        <w:szCs w:val="28"/>
      </w:rPr>
      <w:t xml:space="preserve">—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20" w:leftChars="200"/>
      <w:rPr>
        <w:rFonts w:ascii="宋体" w:hAnsi="宋体"/>
        <w:sz w:val="28"/>
        <w:szCs w:val="28"/>
      </w:rPr>
    </w:pPr>
    <w:r>
      <w:rPr>
        <w:rFonts w:hint="eastAsia" w:ascii="宋体" w:hAnsi="宋体"/>
        <w:sz w:val="28"/>
        <w:szCs w:val="28"/>
      </w:rPr>
      <w:t xml:space="preserve">— </w:t>
    </w: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38</w:t>
    </w:r>
    <w:r>
      <w:rPr>
        <w:rFonts w:hint="eastAsia" w:ascii="宋体" w:hAnsi="宋体"/>
        <w:sz w:val="28"/>
        <w:szCs w:val="28"/>
      </w:rPr>
      <w:fldChar w:fldCharType="end"/>
    </w:r>
    <w:r>
      <w:rPr>
        <w:rFonts w:hint="eastAsia" w:ascii="宋体" w:hAnsi="宋体"/>
        <w:sz w:val="28"/>
        <w:szCs w:val="28"/>
      </w:rPr>
      <w:t xml:space="preserve"> —</w:t>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0EE061"/>
    <w:multiLevelType w:val="singleLevel"/>
    <w:tmpl w:val="AF0EE06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YxMzU0MGNiODRkZjMxOTk4NmUxY2Y0OWNmZjRjMmQifQ=="/>
  </w:docVars>
  <w:rsids>
    <w:rsidRoot w:val="34C97AC9"/>
    <w:rsid w:val="048F0E08"/>
    <w:rsid w:val="0F7D3754"/>
    <w:rsid w:val="14703A04"/>
    <w:rsid w:val="1E8E01FA"/>
    <w:rsid w:val="34C97AC9"/>
    <w:rsid w:val="5DE3748B"/>
    <w:rsid w:val="5DF34788"/>
    <w:rsid w:val="65FA0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Autospacing="1" w:afterAutospacing="1"/>
      <w:jc w:val="left"/>
    </w:pPr>
    <w:rPr>
      <w:rFonts w:ascii="Calibri" w:hAnsi="Calibri"/>
      <w:kern w:val="0"/>
      <w:sz w:val="24"/>
    </w:rPr>
  </w:style>
  <w:style w:type="character" w:styleId="6">
    <w:name w:val="Strong"/>
    <w:basedOn w:val="5"/>
    <w:qFormat/>
    <w:uiPriority w:val="0"/>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2024-01-16T02:39:00Z</dcterms:created>
  <dc:creator>二蛋</dc:creator>
  <cp:lastModifiedBy>李海静</cp:lastModifiedBy>
  <dcterms:modified xsi:type="dcterms:W3CDTF">2025-02-25T07:09:30Z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AB12261BCF484B528A5866483B2ED966_11</vt:lpwstr>
  </property>
  <property fmtid="{D5CDD505-2E9C-101B-9397-08002B2CF9AE}" pid="3" name="KSOProductBuildVer">
    <vt:lpwstr>2052-11.8.2.8506</vt:lpwstr>
  </property>
</Properties>
</file>