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5BE22578">
      <w:pPr>
        <w:spacing w:line="560" w:lineRule="exact"/>
        <w:jc w:val="center"/>
        <w:rPr>
          <w:rFonts w:ascii="方正小标宋_GBK" w:eastAsia="方正小标宋_GBK" w:hAnsi="TimesNewRoman" w:cs="TimesNewRoman" w:hint="eastAsia"/>
          <w:sz w:val="44"/>
          <w:szCs w:val="44"/>
        </w:rPr>
      </w:pPr>
    </w:p>
    <w:p w14:paraId="25E849B0">
      <w:pPr>
        <w:spacing w:line="560" w:lineRule="exact"/>
        <w:jc w:val="center"/>
        <w:rPr>
          <w:rFonts w:ascii="方正小标宋_GBK" w:eastAsia="方正小标宋_GBK" w:hAnsi="TimesNewRoman" w:cs="TimesNewRoman" w:hint="eastAsia"/>
          <w:sz w:val="44"/>
          <w:szCs w:val="44"/>
        </w:rPr>
      </w:pPr>
    </w:p>
    <w:p w14:paraId="15DFB2B7">
      <w:pPr>
        <w:spacing w:line="560" w:lineRule="exact"/>
        <w:jc w:val="center"/>
        <w:rPr>
          <w:rFonts w:ascii="方正小标宋_GBK" w:eastAsia="方正小标宋_GBK" w:hAnsi="TimesNewRoman" w:cs="TimesNewRoman" w:hint="eastAsia"/>
          <w:sz w:val="44"/>
          <w:szCs w:val="44"/>
        </w:rPr>
      </w:pPr>
    </w:p>
    <w:p w14:paraId="6F561DD5">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ascii="方正小标宋_GBK" w:eastAsia="方正小标宋_GBK" w:hAnsi="TimesNewRoman" w:cs="TimesNewRoman" w:hint="eastAsia"/>
          <w:spacing w:val="51"/>
          <w:sz w:val="44"/>
          <w:szCs w:val="44"/>
        </w:rPr>
      </w:pPr>
    </w:p>
    <w:p w14:paraId="6D31F75C">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ascii="方正小标宋简体" w:eastAsia="方正小标宋简体" w:hAnsi="方正小标宋简体" w:cs="TimesNewRoman" w:hint="eastAsia"/>
          <w:spacing w:val="51"/>
          <w:sz w:val="44"/>
          <w:szCs w:val="44"/>
          <w:lang w:eastAsia="zh-CN"/>
        </w:rPr>
      </w:pPr>
      <w:r>
        <w:rPr>
          <w:rFonts w:ascii="方正小标宋简体" w:eastAsia="方正小标宋简体" w:hAnsi="方正小标宋简体" w:cs="TimesNewRoman" w:hint="eastAsia"/>
          <w:spacing w:val="51"/>
          <w:sz w:val="44"/>
          <w:szCs w:val="44"/>
          <w:lang w:eastAsia="zh-CN"/>
        </w:rPr>
        <w:t>中共寿县县委办公室</w:t>
      </w:r>
    </w:p>
    <w:p w14:paraId="27AC1389">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ascii="方正小标宋简体" w:eastAsia="方正小标宋简体" w:hAnsi="方正小标宋简体" w:cs="TimesNewRoman" w:hint="eastAsia"/>
          <w:spacing w:val="51"/>
          <w:sz w:val="44"/>
          <w:szCs w:val="44"/>
        </w:rPr>
      </w:pPr>
      <w:r>
        <w:rPr>
          <w:rFonts w:ascii="方正小标宋简体" w:eastAsia="方正小标宋简体" w:hAnsi="方正小标宋简体" w:cs="TimesNewRoman" w:hint="eastAsia"/>
          <w:spacing w:val="51"/>
          <w:sz w:val="44"/>
          <w:szCs w:val="44"/>
        </w:rPr>
        <w:t>2025年部门预算</w:t>
      </w:r>
    </w:p>
    <w:p w14:paraId="6AF69647">
      <w:pPr>
        <w:pStyle w:val="NormalWeb"/>
        <w:adjustRightInd w:val="0"/>
        <w:snapToGrid w:val="0"/>
        <w:spacing w:line="560" w:lineRule="exact"/>
        <w:jc w:val="center"/>
        <w:outlineLvl w:val="0"/>
        <w:rPr>
          <w:rFonts w:ascii="方正小标宋简体" w:eastAsia="方正小标宋简体" w:hAnsi="方正小标宋简体" w:cs="TimesNewRoman" w:hint="eastAsia"/>
          <w:sz w:val="32"/>
          <w:szCs w:val="32"/>
        </w:rPr>
      </w:pPr>
    </w:p>
    <w:p w14:paraId="47D165F7">
      <w:pPr>
        <w:pStyle w:val="NormalWeb"/>
        <w:adjustRightInd w:val="0"/>
        <w:snapToGrid w:val="0"/>
        <w:spacing w:line="560" w:lineRule="exact"/>
        <w:jc w:val="center"/>
        <w:rPr>
          <w:rFonts w:ascii="仿宋_GB2312" w:eastAsia="仿宋_GB2312" w:hAnsi="TimesNewRoman" w:cs="TimesNewRoman" w:hint="eastAsia"/>
          <w:bCs/>
          <w:sz w:val="32"/>
          <w:szCs w:val="32"/>
        </w:rPr>
      </w:pPr>
    </w:p>
    <w:p w14:paraId="616C8957">
      <w:pPr>
        <w:pStyle w:val="NormalWeb"/>
        <w:adjustRightInd w:val="0"/>
        <w:snapToGrid w:val="0"/>
        <w:spacing w:line="560" w:lineRule="exact"/>
        <w:jc w:val="center"/>
        <w:rPr>
          <w:rFonts w:ascii="仿宋_GB2312" w:eastAsia="仿宋_GB2312" w:hAnsi="TimesNewRoman" w:cs="TimesNewRoman" w:hint="eastAsia"/>
          <w:bCs/>
          <w:sz w:val="32"/>
          <w:szCs w:val="32"/>
        </w:rPr>
      </w:pPr>
    </w:p>
    <w:p w14:paraId="60DD1358">
      <w:pPr>
        <w:pStyle w:val="NormalWeb"/>
        <w:adjustRightInd w:val="0"/>
        <w:snapToGrid w:val="0"/>
        <w:spacing w:line="560" w:lineRule="exact"/>
        <w:jc w:val="center"/>
        <w:rPr>
          <w:rFonts w:ascii="仿宋_GB2312" w:eastAsia="仿宋_GB2312" w:hAnsi="TimesNewRoman" w:cs="TimesNewRoman" w:hint="eastAsia"/>
          <w:bCs/>
          <w:sz w:val="32"/>
          <w:szCs w:val="32"/>
        </w:rPr>
      </w:pPr>
    </w:p>
    <w:p w14:paraId="6BFA6CBA">
      <w:pPr>
        <w:pStyle w:val="NormalWeb"/>
        <w:adjustRightInd w:val="0"/>
        <w:snapToGrid w:val="0"/>
        <w:spacing w:line="560" w:lineRule="exact"/>
        <w:jc w:val="center"/>
        <w:rPr>
          <w:rFonts w:ascii="仿宋_GB2312" w:eastAsia="仿宋_GB2312" w:hAnsi="TimesNewRoman" w:cs="TimesNewRoman" w:hint="eastAsia"/>
          <w:bCs/>
          <w:sz w:val="32"/>
          <w:szCs w:val="32"/>
        </w:rPr>
      </w:pPr>
    </w:p>
    <w:p w14:paraId="4D065130">
      <w:pPr>
        <w:pStyle w:val="NormalWeb"/>
        <w:adjustRightInd w:val="0"/>
        <w:snapToGrid w:val="0"/>
        <w:spacing w:line="560" w:lineRule="exact"/>
        <w:jc w:val="center"/>
        <w:rPr>
          <w:rFonts w:ascii="仿宋_GB2312" w:eastAsia="仿宋_GB2312" w:hAnsi="TimesNewRoman" w:cs="TimesNewRoman" w:hint="eastAsia"/>
          <w:bCs/>
          <w:sz w:val="32"/>
          <w:szCs w:val="32"/>
        </w:rPr>
      </w:pPr>
    </w:p>
    <w:p w14:paraId="51DAC5F1">
      <w:pPr>
        <w:pStyle w:val="NormalWeb"/>
        <w:adjustRightInd w:val="0"/>
        <w:snapToGrid w:val="0"/>
        <w:spacing w:line="560" w:lineRule="exact"/>
        <w:jc w:val="center"/>
        <w:rPr>
          <w:rFonts w:ascii="仿宋_GB2312" w:eastAsia="仿宋_GB2312" w:hAnsi="TimesNewRoman" w:cs="TimesNewRoman" w:hint="eastAsia"/>
          <w:bCs/>
          <w:sz w:val="32"/>
          <w:szCs w:val="32"/>
        </w:rPr>
      </w:pPr>
      <w:r>
        <w:rPr>
          <w:rFonts w:ascii="仿宋_GB2312" w:eastAsia="仿宋_GB2312" w:hAnsi="TimesNewRoman" w:cs="TimesNewRoman" w:hint="eastAsia"/>
          <w:bCs/>
          <w:sz w:val="32"/>
          <w:szCs w:val="32"/>
        </w:rPr>
        <w:t xml:space="preserve">                       </w:t>
      </w:r>
    </w:p>
    <w:p w14:paraId="7F9CF58A">
      <w:pPr>
        <w:pStyle w:val="NormalWeb"/>
        <w:adjustRightInd w:val="0"/>
        <w:snapToGrid w:val="0"/>
        <w:spacing w:line="560" w:lineRule="exact"/>
        <w:jc w:val="center"/>
        <w:rPr>
          <w:rFonts w:ascii="仿宋_GB2312" w:eastAsia="仿宋_GB2312" w:hAnsi="TimesNewRoman" w:cs="TimesNewRoman" w:hint="eastAsia"/>
          <w:bCs/>
          <w:sz w:val="32"/>
          <w:szCs w:val="32"/>
        </w:rPr>
      </w:pPr>
    </w:p>
    <w:p w14:paraId="5CE9B2F5">
      <w:pPr>
        <w:pStyle w:val="NormalWeb"/>
        <w:adjustRightInd w:val="0"/>
        <w:snapToGrid w:val="0"/>
        <w:spacing w:line="560" w:lineRule="exact"/>
        <w:jc w:val="center"/>
        <w:rPr>
          <w:rFonts w:ascii="仿宋_GB2312" w:eastAsia="仿宋_GB2312" w:hAnsi="TimesNewRoman" w:cs="TimesNewRoman" w:hint="eastAsia"/>
          <w:bCs/>
          <w:sz w:val="32"/>
          <w:szCs w:val="32"/>
        </w:rPr>
      </w:pPr>
    </w:p>
    <w:p w14:paraId="07E29966">
      <w:pPr>
        <w:pStyle w:val="NormalWeb"/>
        <w:adjustRightInd w:val="0"/>
        <w:snapToGrid w:val="0"/>
        <w:spacing w:line="560" w:lineRule="exact"/>
        <w:jc w:val="center"/>
        <w:rPr>
          <w:rFonts w:ascii="仿宋_GB2312" w:eastAsia="仿宋_GB2312" w:hAnsi="TimesNewRoman" w:cs="TimesNewRoman" w:hint="eastAsia"/>
          <w:bCs/>
          <w:sz w:val="32"/>
          <w:szCs w:val="32"/>
        </w:rPr>
      </w:pPr>
    </w:p>
    <w:p w14:paraId="01C1C5A3">
      <w:pPr>
        <w:pStyle w:val="NormalWeb"/>
        <w:adjustRightInd w:val="0"/>
        <w:snapToGrid w:val="0"/>
        <w:spacing w:line="560" w:lineRule="exact"/>
        <w:jc w:val="center"/>
        <w:rPr>
          <w:rFonts w:ascii="仿宋_GB2312" w:eastAsia="仿宋_GB2312" w:hAnsi="TimesNewRoman" w:cs="TimesNewRoman" w:hint="default"/>
          <w:bCs/>
          <w:sz w:val="32"/>
          <w:szCs w:val="32"/>
          <w:lang w:val="en-US" w:eastAsia="zh-CN"/>
        </w:rPr>
      </w:pPr>
      <w:r>
        <w:rPr>
          <w:rFonts w:ascii="仿宋_GB2312" w:eastAsia="仿宋_GB2312" w:hAnsi="TimesNewRoman" w:cs="TimesNewRoman" w:hint="eastAsia"/>
          <w:bCs/>
          <w:sz w:val="32"/>
          <w:szCs w:val="32"/>
          <w:lang w:val="en-US" w:eastAsia="zh-CN"/>
        </w:rPr>
        <w:t>2025年1月</w:t>
      </w:r>
    </w:p>
    <w:p w14:paraId="1CDD829B">
      <w:pPr>
        <w:pStyle w:val="NormalWeb"/>
        <w:adjustRightInd w:val="0"/>
        <w:snapToGrid w:val="0"/>
        <w:spacing w:line="560" w:lineRule="exact"/>
        <w:jc w:val="center"/>
        <w:rPr>
          <w:rFonts w:ascii="方正小标宋_GBK" w:eastAsia="方正小标宋_GBK" w:hAnsi="TimesNewRoman" w:cs="TimesNewRoman" w:hint="eastAsia"/>
          <w:bCs/>
          <w:sz w:val="40"/>
          <w:szCs w:val="44"/>
        </w:rPr>
      </w:pPr>
      <w:r>
        <w:rPr>
          <w:rFonts w:ascii="方正小标宋_GBK" w:eastAsia="方正小标宋_GBK" w:hAnsi="TimesNewRoman" w:cs="TimesNewRoman" w:hint="eastAsia"/>
          <w:bCs/>
          <w:sz w:val="40"/>
          <w:szCs w:val="44"/>
        </w:rPr>
        <w:t>目  录</w:t>
      </w:r>
    </w:p>
    <w:p w14:paraId="38366D1B">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p>
    <w:p w14:paraId="033E68EE">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第一部分 部门概况</w:t>
      </w:r>
    </w:p>
    <w:p w14:paraId="48A09B1D">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hint="eastAsia"/>
          <w:bCs/>
          <w:sz w:val="32"/>
          <w:szCs w:val="32"/>
        </w:rPr>
      </w:pPr>
      <w:r>
        <w:rPr>
          <w:rFonts w:ascii="仿宋_GB2312" w:eastAsia="仿宋_GB2312" w:hAnsi="TimesNewRoman" w:cs="TimesNewRoman" w:hint="eastAsia"/>
          <w:bCs/>
          <w:sz w:val="32"/>
          <w:szCs w:val="32"/>
        </w:rPr>
        <w:t>1.主要职责</w:t>
      </w:r>
    </w:p>
    <w:p w14:paraId="7BC0B48E">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hint="eastAsia"/>
          <w:bCs/>
          <w:sz w:val="32"/>
          <w:szCs w:val="32"/>
        </w:rPr>
      </w:pPr>
      <w:r>
        <w:rPr>
          <w:rFonts w:ascii="仿宋_GB2312" w:eastAsia="仿宋_GB2312" w:hAnsi="TimesNewRoman" w:cs="TimesNewRoman" w:hint="eastAsia"/>
          <w:bCs/>
          <w:sz w:val="32"/>
          <w:szCs w:val="32"/>
        </w:rPr>
        <w:t>2.部门预算构成</w:t>
      </w:r>
    </w:p>
    <w:p w14:paraId="2DF106C0">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hint="eastAsia"/>
          <w:bCs/>
          <w:sz w:val="32"/>
          <w:szCs w:val="32"/>
        </w:rPr>
      </w:pPr>
      <w:r>
        <w:rPr>
          <w:rFonts w:ascii="仿宋_GB2312" w:eastAsia="仿宋_GB2312" w:hAnsi="TimesNewRoman" w:cs="TimesNewRoman" w:hint="eastAsia"/>
          <w:bCs/>
          <w:sz w:val="32"/>
          <w:szCs w:val="32"/>
        </w:rPr>
        <w:t>3.2025年度主要工作任务</w:t>
      </w:r>
    </w:p>
    <w:p w14:paraId="6936651C">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第</w:t>
      </w:r>
      <w:r>
        <w:rPr>
          <w:rFonts w:ascii="黑体" w:eastAsia="黑体" w:hAnsi="黑体" w:cs="TimesNewRoman" w:hint="eastAsia"/>
          <w:sz w:val="32"/>
          <w:szCs w:val="32"/>
        </w:rPr>
        <w:t>二</w:t>
      </w:r>
      <w:r>
        <w:rPr>
          <w:rFonts w:ascii="黑体" w:eastAsia="黑体" w:hAnsi="黑体" w:cs="TimesNewRoman"/>
          <w:sz w:val="32"/>
          <w:szCs w:val="32"/>
        </w:rPr>
        <w:t xml:space="preserve">部分 </w:t>
      </w:r>
      <w:r>
        <w:rPr>
          <w:rFonts w:ascii="黑体" w:eastAsia="黑体" w:hAnsi="黑体" w:cs="TimesNewRoman" w:hint="eastAsia"/>
          <w:sz w:val="32"/>
          <w:szCs w:val="32"/>
        </w:rPr>
        <w:t>2025</w:t>
      </w:r>
      <w:r>
        <w:rPr>
          <w:rFonts w:ascii="黑体" w:eastAsia="黑体" w:hAnsi="黑体" w:cs="TimesNewRoman"/>
          <w:sz w:val="32"/>
          <w:szCs w:val="32"/>
        </w:rPr>
        <w:t>年部门预算情况说明</w:t>
      </w:r>
    </w:p>
    <w:p w14:paraId="0C189FFE">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年收支总表的说明</w:t>
      </w:r>
    </w:p>
    <w:p w14:paraId="2E304455">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2.关于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年收入总表的说明</w:t>
      </w:r>
    </w:p>
    <w:p w14:paraId="1C4CA981">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3.关于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年支出总表的说明</w:t>
      </w:r>
    </w:p>
    <w:p w14:paraId="7222E981">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4.关于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年财政拨款收支总表的说明</w:t>
      </w:r>
    </w:p>
    <w:p w14:paraId="056F4733">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5.关于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年一般公共预算支出表的说明</w:t>
      </w:r>
    </w:p>
    <w:p w14:paraId="12C9571D">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6.关于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年一般公共预算基本支出表的说明</w:t>
      </w:r>
    </w:p>
    <w:p w14:paraId="68874D31">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7.关于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年政府性基金预算支出表的说明</w:t>
      </w:r>
    </w:p>
    <w:p w14:paraId="57B15E12">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8.关于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年国有资本经营预算支出表的说明</w:t>
      </w:r>
    </w:p>
    <w:p w14:paraId="21419712">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9.关于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年项目支出表的说明</w:t>
      </w:r>
    </w:p>
    <w:p w14:paraId="5B292A5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10.关于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年政府采购支出表的说明</w:t>
      </w:r>
    </w:p>
    <w:p w14:paraId="40F5FB76">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11.关于</w:t>
      </w:r>
      <w:r>
        <w:rPr>
          <w:rFonts w:ascii="仿宋_GB2312" w:eastAsia="仿宋_GB2312" w:hAnsi="TimesNewRoman" w:cs="TimesNewRoman" w:hint="eastAsia"/>
          <w:bCs/>
          <w:sz w:val="32"/>
          <w:szCs w:val="32"/>
        </w:rPr>
        <w:t>2025</w:t>
      </w:r>
      <w:r>
        <w:rPr>
          <w:rFonts w:ascii="仿宋_GB2312" w:eastAsia="仿宋_GB2312" w:hAnsi="TimesNewRoman" w:cs="TimesNewRoman"/>
          <w:bCs/>
          <w:sz w:val="32"/>
          <w:szCs w:val="32"/>
        </w:rPr>
        <w:t>年政府购买服务支出表的说明</w:t>
      </w:r>
    </w:p>
    <w:p w14:paraId="37BAF331">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hint="default"/>
          <w:bCs/>
          <w:sz w:val="32"/>
          <w:szCs w:val="32"/>
          <w:lang w:val="en-US" w:eastAsia="zh-CN"/>
        </w:rPr>
      </w:pPr>
      <w:r>
        <w:rPr>
          <w:rFonts w:ascii="仿宋_GB2312" w:eastAsia="仿宋_GB2312" w:hAnsi="TimesNewRoman" w:cs="TimesNewRoman" w:hint="eastAsia"/>
          <w:bCs/>
          <w:sz w:val="32"/>
          <w:szCs w:val="32"/>
          <w:lang w:val="en-US" w:eastAsia="zh-CN"/>
        </w:rPr>
        <w:t>12.关于2025年一般公共预算“三公”经费支出情况说明</w:t>
      </w:r>
    </w:p>
    <w:p w14:paraId="12488F88">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仿宋_GB2312" w:eastAsia="仿宋_GB2312" w:hAnsi="TimesNewRoman" w:cs="TimesNewRoman"/>
          <w:bCs/>
          <w:sz w:val="32"/>
          <w:szCs w:val="32"/>
        </w:rPr>
        <w:t>1</w:t>
      </w:r>
      <w:r>
        <w:rPr>
          <w:rFonts w:ascii="仿宋_GB2312" w:eastAsia="仿宋_GB2312" w:hAnsi="TimesNewRoman" w:cs="TimesNewRoman" w:hint="eastAsia"/>
          <w:bCs/>
          <w:sz w:val="32"/>
          <w:szCs w:val="32"/>
          <w:lang w:val="en-US" w:eastAsia="zh-CN"/>
        </w:rPr>
        <w:t>3</w:t>
      </w:r>
      <w:r>
        <w:rPr>
          <w:rFonts w:ascii="仿宋_GB2312" w:eastAsia="仿宋_GB2312" w:hAnsi="TimesNewRoman" w:cs="TimesNewRoman"/>
          <w:bCs/>
          <w:sz w:val="32"/>
          <w:szCs w:val="32"/>
        </w:rPr>
        <w:t>.其他重要事项情况说明</w:t>
      </w:r>
    </w:p>
    <w:p w14:paraId="430DDFDE">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第</w:t>
      </w:r>
      <w:r>
        <w:rPr>
          <w:rFonts w:ascii="黑体" w:eastAsia="黑体" w:hAnsi="黑体" w:cs="TimesNewRoman" w:hint="eastAsia"/>
          <w:sz w:val="32"/>
          <w:szCs w:val="32"/>
        </w:rPr>
        <w:t>三</w:t>
      </w:r>
      <w:r>
        <w:rPr>
          <w:rFonts w:ascii="黑体" w:eastAsia="黑体" w:hAnsi="黑体" w:cs="TimesNewRoman"/>
          <w:sz w:val="32"/>
          <w:szCs w:val="32"/>
        </w:rPr>
        <w:t>部分 名词解释</w:t>
      </w:r>
    </w:p>
    <w:p w14:paraId="64CE4765">
      <w:pPr>
        <w:pStyle w:val="NormalWeb"/>
        <w:topLinePunct/>
        <w:adjustRightInd w:val="0"/>
        <w:snapToGrid w:val="0"/>
        <w:spacing w:beforeAutospacing="0" w:afterAutospacing="0" w:line="560" w:lineRule="exact"/>
        <w:ind w:firstLine="640" w:firstLineChars="200"/>
        <w:jc w:val="both"/>
        <w:rPr>
          <w:rFonts w:ascii="TimesNewRoman" w:eastAsia="仿宋_GB2312" w:hAnsi="TimesNewRoman" w:cs="TimesNewRoman"/>
          <w:b/>
          <w:sz w:val="32"/>
          <w:szCs w:val="32"/>
        </w:rPr>
      </w:pPr>
    </w:p>
    <w:p w14:paraId="03546752">
      <w:pPr>
        <w:pStyle w:val="NormalWeb"/>
        <w:topLinePunct/>
        <w:adjustRightInd w:val="0"/>
        <w:snapToGrid w:val="0"/>
        <w:spacing w:beforeAutospacing="0" w:afterAutospacing="0" w:line="560" w:lineRule="exact"/>
        <w:jc w:val="both"/>
        <w:rPr>
          <w:rFonts w:ascii="TimesNewRoman" w:eastAsia="黑体" w:hAnsi="TimesNewRoman" w:cs="TimesNewRoman"/>
          <w:bCs/>
          <w:sz w:val="36"/>
          <w:szCs w:val="36"/>
        </w:rPr>
      </w:pPr>
    </w:p>
    <w:p w14:paraId="2034F177">
      <w:pPr>
        <w:pStyle w:val="NormalWeb"/>
        <w:topLinePunct/>
        <w:adjustRightInd w:val="0"/>
        <w:snapToGrid w:val="0"/>
        <w:spacing w:beforeAutospacing="0" w:afterAutospacing="0" w:line="560" w:lineRule="exact"/>
        <w:jc w:val="both"/>
        <w:rPr>
          <w:rFonts w:ascii="TimesNewRoman" w:eastAsia="黑体" w:hAnsi="TimesNewRoman" w:cs="TimesNewRoman"/>
          <w:bCs/>
          <w:sz w:val="36"/>
          <w:szCs w:val="36"/>
        </w:rPr>
      </w:pPr>
    </w:p>
    <w:p w14:paraId="283CCFC6">
      <w:pPr>
        <w:pStyle w:val="NormalWeb"/>
        <w:topLinePunct/>
        <w:adjustRightInd w:val="0"/>
        <w:snapToGrid w:val="0"/>
        <w:spacing w:beforeAutospacing="0" w:afterAutospacing="0" w:line="560" w:lineRule="exact"/>
        <w:ind w:firstLine="2520" w:firstLineChars="700"/>
        <w:jc w:val="both"/>
        <w:rPr>
          <w:rFonts w:ascii="TimesNewRoman" w:eastAsia="黑体" w:hAnsi="TimesNewRoman" w:cs="TimesNewRoman"/>
          <w:bCs/>
          <w:sz w:val="36"/>
          <w:szCs w:val="36"/>
        </w:rPr>
      </w:pPr>
      <w:r>
        <w:rPr>
          <w:rFonts w:ascii="TimesNewRoman" w:eastAsia="黑体" w:hAnsi="TimesNewRoman" w:cs="TimesNewRoman"/>
          <w:bCs/>
          <w:sz w:val="36"/>
          <w:szCs w:val="36"/>
        </w:rPr>
        <w:t>第一部分 部门概况</w:t>
      </w:r>
    </w:p>
    <w:p w14:paraId="2FE844E6">
      <w:pPr>
        <w:pStyle w:val="NormalWeb"/>
        <w:keepNext w:val="0"/>
        <w:keepLines w:val="0"/>
        <w:pageBreakBefore w:val="0"/>
        <w:widowControl w:val="0"/>
        <w:kinsoku/>
        <w:wordWrap/>
        <w:overflowPunct/>
        <w:topLinePunct/>
        <w:autoSpaceDE/>
        <w:autoSpaceDN/>
        <w:bidi w:val="0"/>
        <w:adjustRightInd w:val="0"/>
        <w:snapToGrid w:val="0"/>
        <w:spacing w:beforeAutospacing="0" w:afterAutospacing="0" w:line="600" w:lineRule="exact"/>
        <w:ind w:firstLine="627" w:firstLineChars="196"/>
        <w:jc w:val="both"/>
        <w:textAlignment w:val="auto"/>
        <w:outlineLvl w:val="9"/>
        <w:rPr>
          <w:rFonts w:ascii="TimesNewRoman" w:eastAsia="黑体" w:hAnsi="TimesNewRoman" w:cs="TimesNewRoman"/>
          <w:bCs/>
          <w:sz w:val="32"/>
          <w:szCs w:val="32"/>
        </w:rPr>
      </w:pPr>
    </w:p>
    <w:p w14:paraId="41020D21">
      <w:pPr>
        <w:pStyle w:val="NormalWeb"/>
        <w:keepNext w:val="0"/>
        <w:keepLines w:val="0"/>
        <w:pageBreakBefore w:val="0"/>
        <w:widowControl w:val="0"/>
        <w:kinsoku/>
        <w:wordWrap/>
        <w:overflowPunct/>
        <w:topLinePunct/>
        <w:autoSpaceDE/>
        <w:autoSpaceDN/>
        <w:bidi w:val="0"/>
        <w:adjustRightInd w:val="0"/>
        <w:snapToGrid w:val="0"/>
        <w:spacing w:beforeAutospacing="0" w:afterAutospacing="0" w:line="600" w:lineRule="exact"/>
        <w:ind w:firstLine="640" w:firstLineChars="200"/>
        <w:jc w:val="both"/>
        <w:textAlignment w:val="auto"/>
        <w:outlineLvl w:val="9"/>
        <w:rPr>
          <w:rFonts w:ascii="楷体_GB2312" w:eastAsia="楷体_GB2312" w:hAnsi="TimesNewRoman" w:cs="TimesNewRoman" w:hint="eastAsia"/>
          <w:b/>
          <w:bCs/>
          <w:sz w:val="32"/>
          <w:szCs w:val="32"/>
        </w:rPr>
      </w:pPr>
      <w:r>
        <w:rPr>
          <w:rFonts w:ascii="楷体_GB2312" w:eastAsia="楷体_GB2312" w:hAnsi="TimesNewRoman" w:cs="TimesNewRoman" w:hint="eastAsia"/>
          <w:b/>
          <w:bCs/>
          <w:sz w:val="32"/>
          <w:szCs w:val="32"/>
        </w:rPr>
        <w:t>一、主要职责</w:t>
      </w:r>
    </w:p>
    <w:p w14:paraId="5CD03BA7">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根据办〔2019〕15号文件规定，主要职责是：</w:t>
      </w:r>
    </w:p>
    <w:p w14:paraId="0F18CE1F">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（一）贯彻执行党的路线、方针、政策；围绕县委中心工作，搞好决策服务，组织调查研究，当好县委的参谋助手。</w:t>
      </w:r>
    </w:p>
    <w:p w14:paraId="0E001A88">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（二）负责组织起草和审核县委、县委办公室文件、内部明电、报告和县委负责同志讲话稿。</w:t>
      </w:r>
    </w:p>
    <w:p w14:paraId="441C459E">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三）根据县委指示,负责起草、参与起草或组织协同有关部门共同起草、修改县委有关重要文稿；围绕县委中心工作、组织力量对全县经济、政治、文化、党建等全局性、战略性的重大问题进行调查研究，提出意见和建议；及时、准确地向县委负责同志提供省内外和县内外经济、政治、文化等方面的重要信息；组织撰写宣传、阐释党的路线、方针、政策的文章。</w:t>
      </w:r>
    </w:p>
    <w:p w14:paraId="151EE258">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（四）负责县委各类重要会议和县委常委集体活动的组织安排和服务工作；协助县委负责同志做好会议决定事项的协调和落实工作。</w:t>
      </w:r>
    </w:p>
    <w:p w14:paraId="2281F4AD">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（五）负责县委值班工作，及时向县委报告来信来访中提出的重要建议和反映的重要问题。</w:t>
      </w:r>
    </w:p>
    <w:p w14:paraId="592F2CD2">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（六）负责对中央、省委、市委、县委重大决策部署贯彻执行情况的督查、人民网友留言办理，以及对省委、市委、县委负责同志交办的重要事项的查办工作。</w:t>
      </w:r>
    </w:p>
    <w:p w14:paraId="4086CF99">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（七）负责中央、省委、市委文件、电报的收发、登记、分办、催办、传阅、清退、立卷、归档等文档处理和文件传递工作。</w:t>
      </w:r>
    </w:p>
    <w:p w14:paraId="0CFAA826">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（八）负责全县党政系统的密码通讯和密码管理，以及全县商用密码管理工作。</w:t>
      </w:r>
    </w:p>
    <w:p w14:paraId="2FCA53C0">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（九）负责向上级党委和县委综合反映各类重要信息和情况，为县直单位和乡镇提供信息服务。</w:t>
      </w:r>
    </w:p>
    <w:p w14:paraId="3CD62C28">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（十）负责中央、省委、市委领导同志来寿活动的组织安排和服务工作；承担中央、省委、市委有关部门和县内外党委系统有关负责同志因公来寿的接待安排工作。</w:t>
      </w:r>
    </w:p>
    <w:p w14:paraId="7C6D5D61">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（十一）承担县委财经委员会的日常工作，组织开展全县财经领域重大问题的政策研究，协调督促落实县委财经委员会决定事项、工作部署和要求。</w:t>
      </w:r>
    </w:p>
    <w:p w14:paraId="772B74A2">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（十二）承担县委全面深化改革委员会的日常工作，组织开展全县深化改革领域的政策研究，协调督促落实县委全面深化改革委员会决定事项、工作部署和要求。</w:t>
      </w:r>
    </w:p>
    <w:p w14:paraId="7DD2A0DA">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（十三）承担县委国家安全委员会的日常工作，负责全县国家安全法律法规宣传教育工作，组织开展全县国家安全领域的政策研究，协调督促落实县委国家安全委员会决定事项、工作部署和要求。</w:t>
      </w:r>
    </w:p>
    <w:p w14:paraId="276F8579">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（十四）承担县委党的建设工作领导小组日常工作，组织开展全县党建领域的政策研究，协调督促落实县委党的建设工作领导小组决定事项、工作部署和要求。</w:t>
      </w:r>
    </w:p>
    <w:p w14:paraId="7EF8BCF1">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（十五）负责县委、县委办公室的后勤保障工作。</w:t>
      </w:r>
    </w:p>
    <w:p w14:paraId="6D3C765D">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（十六）负责保密宣传教育、业务培训等工作，指导、协调全县范围内的保密工作。</w:t>
      </w:r>
    </w:p>
    <w:p w14:paraId="5F8CD029">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（十七）负责监督、指导全县档案管理工作。</w:t>
      </w:r>
    </w:p>
    <w:p w14:paraId="15EE7DBE">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（十八）负责全县党委办公室系统业务指导和培训等工作。</w:t>
      </w:r>
    </w:p>
    <w:p w14:paraId="128A7559">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（十九）统筹协调、指导全县党务公开工作。</w:t>
      </w:r>
    </w:p>
    <w:p w14:paraId="004271F0">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（二十）承担县委、县政府目标管理绩效考核和全县效能建设工作。</w:t>
      </w:r>
    </w:p>
    <w:p w14:paraId="22505D4A">
      <w:pPr>
        <w:pStyle w:val="NormalWeb"/>
        <w:topLinePunct/>
        <w:adjustRightInd w:val="0"/>
        <w:snapToGrid w:val="0"/>
        <w:spacing w:beforeAutospacing="0" w:afterAutospacing="0" w:line="580" w:lineRule="exact"/>
        <w:ind w:firstLine="640" w:firstLineChars="200"/>
        <w:jc w:val="both"/>
        <w:rPr>
          <w:rFonts w:ascii="仿宋" w:eastAsia="仿宋" w:hAnsi="仿宋" w:hint="eastAsia"/>
          <w:sz w:val="32"/>
          <w:szCs w:val="32"/>
          <w:lang w:val="en-US" w:eastAsia="zh-CN"/>
        </w:rPr>
      </w:pPr>
      <w:r>
        <w:rPr>
          <w:rFonts w:ascii="仿宋" w:eastAsia="仿宋" w:hAnsi="仿宋" w:hint="eastAsia"/>
          <w:sz w:val="32"/>
          <w:szCs w:val="32"/>
          <w:lang w:val="en-US" w:eastAsia="zh-CN"/>
        </w:rPr>
        <w:t>（二十一）完成县委交办的其他有关工作。</w:t>
      </w:r>
    </w:p>
    <w:p w14:paraId="41932187">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bCs/>
          <w:sz w:val="32"/>
          <w:szCs w:val="32"/>
        </w:rPr>
      </w:pPr>
      <w:r>
        <w:rPr>
          <w:rFonts w:ascii="楷体_GB2312" w:eastAsia="楷体_GB2312" w:hAnsi="TimesNewRoman" w:cs="TimesNewRoman" w:hint="eastAsia"/>
          <w:b/>
          <w:bCs/>
          <w:sz w:val="32"/>
          <w:szCs w:val="32"/>
        </w:rPr>
        <w:t>二、</w:t>
      </w:r>
      <w:r>
        <w:rPr>
          <w:rFonts w:ascii="楷体_GB2312" w:eastAsia="楷体_GB2312" w:hAnsi="TimesNewRoman" w:cs="TimesNewRoman"/>
          <w:b/>
          <w:bCs/>
          <w:sz w:val="32"/>
          <w:szCs w:val="32"/>
        </w:rPr>
        <w:t>部门预算构成</w:t>
      </w:r>
    </w:p>
    <w:p w14:paraId="1D32E6EF">
      <w:pPr>
        <w:pStyle w:val="NormalWeb"/>
        <w:adjustRightInd w:val="0"/>
        <w:snapToGrid w:val="0"/>
        <w:spacing w:before="0" w:beforeAutospacing="0" w:after="0" w:afterAutospacing="0" w:line="360" w:lineRule="auto"/>
        <w:ind w:firstLine="627" w:firstLineChars="196"/>
        <w:jc w:val="both"/>
        <w:rPr>
          <w:rFonts w:ascii="仿宋" w:eastAsia="仿宋" w:hAnsi="仿宋" w:hint="eastAsia"/>
          <w:sz w:val="32"/>
          <w:szCs w:val="32"/>
        </w:rPr>
      </w:pPr>
      <w:r>
        <w:rPr>
          <w:rFonts w:ascii="仿宋" w:eastAsia="仿宋" w:hAnsi="仿宋" w:hint="eastAsia"/>
          <w:sz w:val="32"/>
          <w:szCs w:val="32"/>
        </w:rPr>
        <w:t>从预算单位构成看，</w:t>
      </w:r>
      <w:r>
        <w:rPr>
          <w:rFonts w:ascii="仿宋" w:eastAsia="仿宋" w:hAnsi="仿宋" w:cs="仿宋" w:hint="eastAsia"/>
          <w:bCs/>
          <w:sz w:val="32"/>
          <w:szCs w:val="32"/>
        </w:rPr>
        <w:t>寿县县委办公室</w:t>
      </w:r>
      <w:r>
        <w:rPr>
          <w:rFonts w:ascii="仿宋" w:eastAsia="仿宋" w:hAnsi="仿宋" w:hint="eastAsia"/>
          <w:sz w:val="32"/>
          <w:szCs w:val="32"/>
        </w:rPr>
        <w:t>2024年度部门预算仅包括本级预算，</w:t>
      </w:r>
      <w:r>
        <w:rPr>
          <w:rFonts w:ascii="仿宋_GB2312" w:eastAsia="仿宋_GB2312" w:hAnsi="仿宋" w:hint="eastAsia"/>
          <w:sz w:val="32"/>
          <w:szCs w:val="32"/>
        </w:rPr>
        <w:t>无其他下属单位预算</w:t>
      </w:r>
      <w:r>
        <w:rPr>
          <w:rFonts w:ascii="仿宋" w:eastAsia="仿宋" w:hAnsi="仿宋" w:hint="eastAsia"/>
          <w:sz w:val="32"/>
          <w:szCs w:val="32"/>
        </w:rPr>
        <w:t>，具体情况见下表。</w:t>
      </w:r>
    </w:p>
    <w:p w14:paraId="0732D20C">
      <w:pPr>
        <w:pStyle w:val="NormalWeb"/>
        <w:adjustRightInd w:val="0"/>
        <w:snapToGrid w:val="0"/>
        <w:spacing w:before="0" w:beforeAutospacing="0" w:after="0" w:afterAutospacing="0" w:line="360" w:lineRule="auto"/>
        <w:ind w:firstLine="627" w:firstLineChars="196"/>
        <w:jc w:val="both"/>
        <w:rPr>
          <w:rFonts w:ascii="仿宋" w:eastAsia="仿宋" w:hAnsi="仿宋" w:hint="eastAsia"/>
          <w:sz w:val="32"/>
          <w:szCs w:val="32"/>
        </w:rPr>
      </w:pPr>
    </w:p>
    <w:tbl>
      <w:tblPr>
        <w:tblStyle w:val="TableNormal"/>
        <w:tblW w:w="8467" w:type="dxa"/>
        <w:tblInd w:w="288" w:type="dxa"/>
        <w:shd w:val="clear" w:color="auto" w:fill="FFFFFF"/>
        <w:tblLayout w:type="fixed"/>
        <w:tblCellMar>
          <w:top w:w="0" w:type="dxa"/>
          <w:left w:w="0" w:type="dxa"/>
          <w:bottom w:w="0" w:type="dxa"/>
          <w:right w:w="0" w:type="dxa"/>
        </w:tblCellMar>
      </w:tblPr>
      <w:tblGrid>
        <w:gridCol w:w="900"/>
        <w:gridCol w:w="3600"/>
        <w:gridCol w:w="3967"/>
      </w:tblGrid>
      <w:tr w14:paraId="66720C2A">
        <w:tblPrEx>
          <w:tblW w:w="8467" w:type="dxa"/>
          <w:tblInd w:w="288" w:type="dxa"/>
          <w:shd w:val="clear" w:color="auto" w:fill="FFFFFF"/>
          <w:tblLayout w:type="fixed"/>
        </w:tblPrEx>
        <w:trPr>
          <w:trHeight w:hRule="exact" w:val="397"/>
        </w:trPr>
        <w:tc>
          <w:tcPr>
            <w:tcW w:w="900" w:type="dxa"/>
            <w:tcBorders>
              <w:top w:val="single" w:sz="8" w:space="0" w:color="auto"/>
              <w:left w:val="single" w:sz="8" w:space="0" w:color="auto"/>
              <w:bottom w:val="single" w:sz="8" w:space="0" w:color="auto"/>
              <w:right w:val="single" w:sz="8" w:space="0" w:color="auto"/>
            </w:tcBorders>
            <w:shd w:val="clear" w:color="auto" w:fill="FFFFFF"/>
            <w:noWrap w:val="0"/>
            <w:tcMar>
              <w:top w:w="0" w:type="dxa"/>
              <w:left w:w="108" w:type="dxa"/>
              <w:bottom w:w="0" w:type="dxa"/>
              <w:right w:w="108" w:type="dxa"/>
            </w:tcMar>
            <w:vAlign w:val="center"/>
          </w:tcPr>
          <w:p w14:paraId="40737588">
            <w:pPr>
              <w:adjustRightInd w:val="0"/>
              <w:snapToGrid w:val="0"/>
              <w:spacing w:line="360" w:lineRule="auto"/>
              <w:jc w:val="center"/>
              <w:rPr>
                <w:rFonts w:ascii="仿宋_GB2312" w:eastAsia="仿宋_GB2312" w:hAnsi="宋体" w:hint="eastAsia"/>
                <w:sz w:val="24"/>
              </w:rPr>
            </w:pPr>
            <w:r>
              <w:rPr>
                <w:rFonts w:ascii="仿宋_GB2312" w:eastAsia="仿宋_GB2312" w:hAnsi="宋体" w:hint="eastAsia"/>
                <w:sz w:val="24"/>
              </w:rPr>
              <w:t>序号</w:t>
            </w:r>
          </w:p>
        </w:tc>
        <w:tc>
          <w:tcPr>
            <w:tcW w:w="3600" w:type="dxa"/>
            <w:tcBorders>
              <w:top w:val="single" w:sz="8" w:space="0" w:color="auto"/>
              <w:left w:val="nil"/>
              <w:bottom w:val="single" w:sz="8" w:space="0" w:color="auto"/>
              <w:right w:val="single" w:sz="8" w:space="0" w:color="auto"/>
            </w:tcBorders>
            <w:shd w:val="clear" w:color="auto" w:fill="FFFFFF"/>
            <w:noWrap w:val="0"/>
            <w:tcMar>
              <w:top w:w="0" w:type="dxa"/>
              <w:left w:w="108" w:type="dxa"/>
              <w:bottom w:w="0" w:type="dxa"/>
              <w:right w:w="108" w:type="dxa"/>
            </w:tcMar>
            <w:vAlign w:val="center"/>
          </w:tcPr>
          <w:p w14:paraId="7C8DBB20">
            <w:pPr>
              <w:adjustRightInd w:val="0"/>
              <w:snapToGrid w:val="0"/>
              <w:spacing w:line="360" w:lineRule="auto"/>
              <w:jc w:val="center"/>
              <w:rPr>
                <w:rFonts w:ascii="仿宋_GB2312" w:eastAsia="仿宋_GB2312" w:hAnsi="宋体" w:hint="eastAsia"/>
                <w:sz w:val="24"/>
              </w:rPr>
            </w:pPr>
            <w:r>
              <w:rPr>
                <w:rFonts w:ascii="仿宋_GB2312" w:eastAsia="仿宋_GB2312" w:hAnsi="宋体" w:hint="eastAsia"/>
                <w:sz w:val="24"/>
              </w:rPr>
              <w:t>单位名称</w:t>
            </w:r>
          </w:p>
        </w:tc>
        <w:tc>
          <w:tcPr>
            <w:tcW w:w="3967" w:type="dxa"/>
            <w:tcBorders>
              <w:top w:val="single" w:sz="8" w:space="0" w:color="auto"/>
              <w:left w:val="nil"/>
              <w:bottom w:val="single" w:sz="8" w:space="0" w:color="auto"/>
              <w:right w:val="single" w:sz="8" w:space="0" w:color="auto"/>
            </w:tcBorders>
            <w:shd w:val="clear" w:color="auto" w:fill="FFFFFF"/>
            <w:noWrap w:val="0"/>
            <w:vAlign w:val="top"/>
          </w:tcPr>
          <w:p w14:paraId="7530CFC0">
            <w:pPr>
              <w:adjustRightInd w:val="0"/>
              <w:snapToGrid w:val="0"/>
              <w:spacing w:line="360" w:lineRule="auto"/>
              <w:jc w:val="center"/>
              <w:rPr>
                <w:rFonts w:ascii="仿宋_GB2312" w:eastAsia="仿宋_GB2312" w:hAnsi="宋体" w:hint="eastAsia"/>
                <w:sz w:val="24"/>
              </w:rPr>
            </w:pPr>
            <w:r>
              <w:rPr>
                <w:rFonts w:ascii="仿宋_GB2312" w:eastAsia="仿宋_GB2312" w:hAnsi="宋体" w:hint="eastAsia"/>
                <w:sz w:val="24"/>
              </w:rPr>
              <w:t>单位性质</w:t>
            </w:r>
          </w:p>
        </w:tc>
      </w:tr>
      <w:tr w14:paraId="44CF373C">
        <w:tblPrEx>
          <w:tblW w:w="8467" w:type="dxa"/>
          <w:tblInd w:w="288" w:type="dxa"/>
          <w:shd w:val="clear" w:color="auto" w:fill="FFFFFF"/>
          <w:tblLayout w:type="fixed"/>
        </w:tblPrEx>
        <w:trPr>
          <w:trHeight w:hRule="exact" w:val="397"/>
        </w:trPr>
        <w:tc>
          <w:tcPr>
            <w:tcW w:w="900" w:type="dxa"/>
            <w:tcBorders>
              <w:top w:val="nil"/>
              <w:left w:val="single" w:sz="8" w:space="0" w:color="auto"/>
              <w:bottom w:val="single" w:sz="8" w:space="0" w:color="auto"/>
              <w:right w:val="single" w:sz="8" w:space="0" w:color="auto"/>
            </w:tcBorders>
            <w:shd w:val="clear" w:color="auto" w:fill="FFFFFF"/>
            <w:noWrap w:val="0"/>
            <w:tcMar>
              <w:top w:w="0" w:type="dxa"/>
              <w:left w:w="108" w:type="dxa"/>
              <w:bottom w:w="0" w:type="dxa"/>
              <w:right w:w="108" w:type="dxa"/>
            </w:tcMar>
            <w:vAlign w:val="center"/>
          </w:tcPr>
          <w:p w14:paraId="6A15B1AA">
            <w:pPr>
              <w:adjustRightInd w:val="0"/>
              <w:snapToGrid w:val="0"/>
              <w:spacing w:line="360" w:lineRule="auto"/>
              <w:jc w:val="center"/>
              <w:rPr>
                <w:rFonts w:ascii="仿宋_GB2312" w:eastAsia="仿宋_GB2312" w:hAnsi="宋体" w:cs="宋体" w:hint="eastAsia"/>
                <w:sz w:val="24"/>
              </w:rPr>
            </w:pPr>
            <w:r>
              <w:rPr>
                <w:rFonts w:ascii="仿宋_GB2312" w:eastAsia="仿宋_GB2312" w:hAnsi="宋体" w:hint="eastAsia"/>
                <w:sz w:val="24"/>
              </w:rPr>
              <w:t>1</w:t>
            </w:r>
          </w:p>
        </w:tc>
        <w:tc>
          <w:tcPr>
            <w:tcW w:w="3600" w:type="dxa"/>
            <w:tcBorders>
              <w:top w:val="nil"/>
              <w:left w:val="nil"/>
              <w:bottom w:val="single" w:sz="8" w:space="0" w:color="auto"/>
              <w:right w:val="single" w:sz="8" w:space="0" w:color="auto"/>
            </w:tcBorders>
            <w:shd w:val="clear" w:color="auto" w:fill="FFFFFF"/>
            <w:noWrap w:val="0"/>
            <w:tcMar>
              <w:top w:w="0" w:type="dxa"/>
              <w:left w:w="108" w:type="dxa"/>
              <w:bottom w:w="0" w:type="dxa"/>
              <w:right w:w="108" w:type="dxa"/>
            </w:tcMar>
            <w:vAlign w:val="center"/>
          </w:tcPr>
          <w:p w14:paraId="217DEEEE">
            <w:pPr>
              <w:adjustRightInd w:val="0"/>
              <w:snapToGrid w:val="0"/>
              <w:spacing w:line="360" w:lineRule="auto"/>
              <w:rPr>
                <w:rFonts w:ascii="仿宋_GB2312" w:eastAsia="仿宋_GB2312" w:hAnsi="宋体" w:hint="eastAsia"/>
                <w:sz w:val="24"/>
                <w:u w:val="single"/>
              </w:rPr>
            </w:pPr>
            <w:r>
              <w:rPr>
                <w:rFonts w:ascii="仿宋_GB2312" w:eastAsia="仿宋_GB2312" w:hAnsi="仿宋" w:cs="仿宋" w:hint="eastAsia"/>
                <w:bCs/>
                <w:sz w:val="24"/>
              </w:rPr>
              <w:t>寿县县委办公室本级</w:t>
            </w:r>
          </w:p>
        </w:tc>
        <w:tc>
          <w:tcPr>
            <w:tcW w:w="3967" w:type="dxa"/>
            <w:tcBorders>
              <w:top w:val="nil"/>
              <w:left w:val="nil"/>
              <w:bottom w:val="single" w:sz="8" w:space="0" w:color="auto"/>
              <w:right w:val="single" w:sz="8" w:space="0" w:color="auto"/>
            </w:tcBorders>
            <w:shd w:val="clear" w:color="auto" w:fill="FFFFFF"/>
            <w:noWrap w:val="0"/>
            <w:vAlign w:val="top"/>
          </w:tcPr>
          <w:p w14:paraId="2AB395D1">
            <w:pPr>
              <w:adjustRightInd w:val="0"/>
              <w:snapToGrid w:val="0"/>
              <w:spacing w:line="360" w:lineRule="auto"/>
              <w:rPr>
                <w:rFonts w:ascii="仿宋_GB2312" w:eastAsia="仿宋_GB2312" w:hAnsi="宋体" w:hint="eastAsia"/>
                <w:sz w:val="24"/>
                <w:u w:val="single"/>
              </w:rPr>
            </w:pPr>
            <w:r>
              <w:rPr>
                <w:rFonts w:ascii="仿宋_GB2312" w:eastAsia="仿宋_GB2312" w:hAnsi="仿宋" w:cs="仿宋" w:hint="eastAsia"/>
                <w:bCs/>
                <w:sz w:val="24"/>
              </w:rPr>
              <w:t>行政单位</w:t>
            </w:r>
          </w:p>
        </w:tc>
      </w:tr>
      <w:tr w14:paraId="2E0E19F3">
        <w:tblPrEx>
          <w:tblW w:w="8467" w:type="dxa"/>
          <w:tblInd w:w="288" w:type="dxa"/>
          <w:shd w:val="clear" w:color="auto" w:fill="FFFFFF"/>
          <w:tblLayout w:type="fixed"/>
        </w:tblPrEx>
        <w:trPr>
          <w:trHeight w:hRule="exact" w:val="397"/>
        </w:trPr>
        <w:tc>
          <w:tcPr>
            <w:tcW w:w="900" w:type="dxa"/>
            <w:tcBorders>
              <w:top w:val="nil"/>
              <w:left w:val="single" w:sz="8" w:space="0" w:color="auto"/>
              <w:bottom w:val="single" w:sz="8" w:space="0" w:color="auto"/>
              <w:right w:val="single" w:sz="8" w:space="0" w:color="auto"/>
            </w:tcBorders>
            <w:shd w:val="clear" w:color="auto" w:fill="FFFFFF"/>
            <w:noWrap w:val="0"/>
            <w:tcMar>
              <w:top w:w="0" w:type="dxa"/>
              <w:left w:w="108" w:type="dxa"/>
              <w:bottom w:w="0" w:type="dxa"/>
              <w:right w:w="108" w:type="dxa"/>
            </w:tcMar>
            <w:vAlign w:val="center"/>
          </w:tcPr>
          <w:p w14:paraId="0211246C">
            <w:pPr>
              <w:adjustRightInd w:val="0"/>
              <w:snapToGrid w:val="0"/>
              <w:spacing w:line="360" w:lineRule="auto"/>
              <w:jc w:val="center"/>
              <w:rPr>
                <w:rFonts w:ascii="仿宋_GB2312" w:eastAsia="仿宋_GB2312" w:hAnsi="宋体" w:cs="宋体" w:hint="eastAsia"/>
                <w:sz w:val="24"/>
              </w:rPr>
            </w:pPr>
          </w:p>
        </w:tc>
        <w:tc>
          <w:tcPr>
            <w:tcW w:w="3600" w:type="dxa"/>
            <w:tcBorders>
              <w:top w:val="nil"/>
              <w:left w:val="nil"/>
              <w:bottom w:val="single" w:sz="8" w:space="0" w:color="auto"/>
              <w:right w:val="single" w:sz="8" w:space="0" w:color="auto"/>
            </w:tcBorders>
            <w:shd w:val="clear" w:color="auto" w:fill="FFFFFF"/>
            <w:noWrap w:val="0"/>
            <w:tcMar>
              <w:top w:w="0" w:type="dxa"/>
              <w:left w:w="108" w:type="dxa"/>
              <w:bottom w:w="0" w:type="dxa"/>
              <w:right w:w="108" w:type="dxa"/>
            </w:tcMar>
            <w:vAlign w:val="center"/>
          </w:tcPr>
          <w:p w14:paraId="563CBEC6">
            <w:pPr>
              <w:adjustRightInd w:val="0"/>
              <w:snapToGrid w:val="0"/>
              <w:spacing w:line="360" w:lineRule="auto"/>
              <w:rPr>
                <w:rFonts w:ascii="仿宋_GB2312" w:eastAsia="仿宋_GB2312" w:hAnsi="宋体" w:hint="eastAsia"/>
                <w:sz w:val="24"/>
                <w:u w:val="single"/>
              </w:rPr>
            </w:pPr>
          </w:p>
        </w:tc>
        <w:tc>
          <w:tcPr>
            <w:tcW w:w="3967" w:type="dxa"/>
            <w:tcBorders>
              <w:top w:val="nil"/>
              <w:left w:val="nil"/>
              <w:bottom w:val="single" w:sz="8" w:space="0" w:color="auto"/>
              <w:right w:val="single" w:sz="8" w:space="0" w:color="auto"/>
            </w:tcBorders>
            <w:shd w:val="clear" w:color="auto" w:fill="FFFFFF"/>
            <w:noWrap w:val="0"/>
            <w:vAlign w:val="top"/>
          </w:tcPr>
          <w:p w14:paraId="3D656938">
            <w:pPr>
              <w:adjustRightInd w:val="0"/>
              <w:snapToGrid w:val="0"/>
              <w:spacing w:line="360" w:lineRule="auto"/>
              <w:rPr>
                <w:rFonts w:ascii="仿宋_GB2312" w:eastAsia="仿宋_GB2312" w:hAnsi="宋体" w:hint="eastAsia"/>
                <w:sz w:val="24"/>
                <w:u w:val="single"/>
              </w:rPr>
            </w:pPr>
          </w:p>
        </w:tc>
      </w:tr>
    </w:tbl>
    <w:p w14:paraId="6E1AFCCA">
      <w:pPr>
        <w:pStyle w:val="NormalWeb"/>
        <w:topLinePunct/>
        <w:adjustRightInd w:val="0"/>
        <w:snapToGrid w:val="0"/>
        <w:spacing w:beforeAutospacing="0" w:afterAutospacing="0" w:line="580" w:lineRule="exact"/>
        <w:ind w:firstLine="640" w:firstLineChars="200"/>
        <w:jc w:val="both"/>
        <w:rPr>
          <w:rFonts w:ascii="TimesNewRoman" w:eastAsia="仿宋_GB2312" w:hAnsi="TimesNewRoman" w:cs="TimesNewRoman"/>
          <w:bCs/>
          <w:sz w:val="32"/>
          <w:szCs w:val="32"/>
        </w:rPr>
      </w:pPr>
      <w:r>
        <w:rPr>
          <w:rFonts w:ascii="楷体_GB2312" w:eastAsia="楷体_GB2312" w:hAnsi="TimesNewRoman" w:cs="TimesNewRoman" w:hint="eastAsia"/>
          <w:b/>
          <w:bCs/>
          <w:sz w:val="32"/>
          <w:szCs w:val="32"/>
        </w:rPr>
        <w:t>三、2025年度主要工作任务</w:t>
      </w:r>
    </w:p>
    <w:p w14:paraId="690D8C54">
      <w:pPr>
        <w:spacing w:line="560" w:lineRule="exact"/>
        <w:ind w:firstLine="640" w:firstLineChars="200"/>
        <w:rPr>
          <w:rFonts w:ascii="仿宋_GB2312" w:eastAsia="仿宋_GB2312"/>
          <w:sz w:val="32"/>
          <w:szCs w:val="32"/>
        </w:rPr>
      </w:pPr>
      <w:r>
        <w:rPr>
          <w:rFonts w:ascii="仿宋_GB2312" w:eastAsia="仿宋_GB2312" w:hint="eastAsia"/>
          <w:sz w:val="32"/>
          <w:szCs w:val="32"/>
        </w:rPr>
        <w:t>主要任务是：</w:t>
      </w:r>
    </w:p>
    <w:p w14:paraId="4C29A71C">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（一）贯彻执行党的路线、方针、政策；围绕县委中心工作，搞好决策服务，组织调查研究，当好县委的参谋助手。</w:t>
      </w:r>
    </w:p>
    <w:p w14:paraId="5D44C4E4">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（二）负责组织起草和审核县委、县委办公室文件、内部明电、报告和县委负责同志讲话稿。</w:t>
      </w:r>
    </w:p>
    <w:p w14:paraId="6D3D86DE">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三）根据县委指示,负责起草、参与起草或组织协同有关部门共同起草、修改县委有关重要文稿；围绕县委中心工作、组织力量对全县经济、政治、文化、党建等全局性、战略性的重大问题进行调查研究，提出意见和建议；及时、准确地向县委负责同志提供省内外和县内外经济、政治、文化等方面的重要信息；组织撰写宣传、阐释党的路线、方针、政策的文章。</w:t>
      </w:r>
    </w:p>
    <w:p w14:paraId="164AD68B">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（四）负责县委各类重要会议和县委常委集体活动的组织安排和服务工作；协助县委负责同志做好会议决定事项的协调和落实工作。</w:t>
      </w:r>
    </w:p>
    <w:p w14:paraId="26BA72FB">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（五）负责县委值班工作，及时向县委报告来信来访中提出的重要建议和反映的重要问题。</w:t>
      </w:r>
    </w:p>
    <w:p w14:paraId="76DADD98">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（六）负责对中央、省委、市委、县委重大决策部署贯彻执行情况的督查、人民网友留言办理，以及对省委、市委、县委负责同志交办的重要事项的查办工作。</w:t>
      </w:r>
    </w:p>
    <w:p w14:paraId="23C2B77D">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（七）负责中央、省委、市委文件、电报的收发、登记、分办、催办、传阅、清退、立卷、归档等文档处理和文件传递工作。</w:t>
      </w:r>
    </w:p>
    <w:p w14:paraId="6F9FA1E6">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（八）负责全县党政系统的密码通讯和密码管理，以及全县商用密码管理工作。</w:t>
      </w:r>
    </w:p>
    <w:p w14:paraId="4919C403">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（九）负责向上级党委和县委综合反映各类重要信息和情况，为县直单位和乡镇提供信息服务。</w:t>
      </w:r>
    </w:p>
    <w:p w14:paraId="7F36B131">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（十）负责中央、省委、市委领导同志来寿活动的组织安排和服务工作；承担中央、省委、市委有关部门和县内外党委系统有关负责同志因公来寿的接待安排工作。</w:t>
      </w:r>
    </w:p>
    <w:p w14:paraId="2A525D60">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（十一）承担县委财经委员会的日常工作，组织开展全县财经领域重大问题的政策研究，协调督促落实县委财经委员会决定事项、工作部署和要求。</w:t>
      </w:r>
    </w:p>
    <w:p w14:paraId="6664A166">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（十二）承担县委全面深化改革委员会的日常工作，组织开展全县深化改革领域的政策研究，协调督促落实县委全面深化改革委员会决定事项、工作部署和要求。</w:t>
      </w:r>
    </w:p>
    <w:p w14:paraId="4231F4C5">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（十三）承担县委国家安全委员会的日常工作，负责全县国家安全法律法规宣传教育工作，组织开展全县国家安全领域的政策研究，协调督促落实县委国家安全委员会决定事项、工作部署和要求。</w:t>
      </w:r>
    </w:p>
    <w:p w14:paraId="60AF6781">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（十四）承担县委党的建设工作领导小组日常工作，组织开展全县党建领域的政策研究，协调督促落实县委党的建设工作领导小组决定事项、工作部署和要求。</w:t>
      </w:r>
    </w:p>
    <w:p w14:paraId="76727C9E">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（十五）负责县委、县委办公室的后勤保障工作。</w:t>
      </w:r>
    </w:p>
    <w:p w14:paraId="15606B87">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（十六）负责保密宣传教育、业务培训等工作，指导、协调全县范围内的保密工作。</w:t>
      </w:r>
    </w:p>
    <w:p w14:paraId="6964117E">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（十七）负责监督、指导全县档案管理工作。</w:t>
      </w:r>
    </w:p>
    <w:p w14:paraId="573D3A23">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（十八）负责全县党委办公室系统业务指导和培训等工作。</w:t>
      </w:r>
    </w:p>
    <w:p w14:paraId="27A7CE0A">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（十九）统筹协调、指导全县党务公开工作。</w:t>
      </w:r>
    </w:p>
    <w:p w14:paraId="378DEEBF">
      <w:pPr>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（二十）承担县委、县政府</w:t>
      </w:r>
      <w:r>
        <w:rPr>
          <w:rFonts w:ascii="仿宋_GB2312" w:eastAsia="仿宋_GB2312" w:hAnsi="仿宋" w:cs="宋体" w:hint="eastAsia"/>
          <w:color w:val="000000"/>
          <w:kern w:val="0"/>
          <w:sz w:val="32"/>
          <w:szCs w:val="32"/>
        </w:rPr>
        <w:t>目标管理绩效考核和全县效能建设工作。</w:t>
      </w:r>
    </w:p>
    <w:p w14:paraId="6E80E2C3">
      <w:pPr>
        <w:pStyle w:val="NormalWeb"/>
        <w:shd w:val="clear" w:color="auto" w:fill="FFFFFF"/>
        <w:spacing w:before="0" w:beforeAutospacing="0" w:after="0" w:afterAutospacing="0" w:line="560" w:lineRule="atLeast"/>
        <w:ind w:firstLine="640"/>
        <w:rPr>
          <w:rFonts w:ascii="仿宋_GB2312" w:eastAsia="仿宋_GB2312" w:hAnsi="仿宋" w:hint="eastAsia"/>
          <w:sz w:val="32"/>
          <w:szCs w:val="32"/>
        </w:rPr>
      </w:pPr>
      <w:r>
        <w:rPr>
          <w:rFonts w:ascii="仿宋_GB2312" w:eastAsia="仿宋_GB2312" w:hAnsi="仿宋" w:hint="eastAsia"/>
          <w:sz w:val="32"/>
          <w:szCs w:val="32"/>
        </w:rPr>
        <w:t>（二十一）完成县委交办的其他有关工作。</w:t>
      </w:r>
      <w:bookmarkStart w:id="0" w:name="_GoBack"/>
      <w:bookmarkEnd w:id="0"/>
    </w:p>
    <w:p w14:paraId="440672DC">
      <w:pPr>
        <w:pStyle w:val="NormalWeb"/>
        <w:topLinePunct/>
        <w:adjustRightInd w:val="0"/>
        <w:snapToGrid w:val="0"/>
        <w:spacing w:beforeAutospacing="0" w:afterAutospacing="0" w:line="560" w:lineRule="exact"/>
        <w:jc w:val="center"/>
        <w:rPr>
          <w:rFonts w:ascii="TimesNewRoman" w:eastAsia="黑体" w:hAnsi="TimesNewRoman" w:cs="TimesNewRoman"/>
          <w:bCs/>
          <w:sz w:val="36"/>
          <w:szCs w:val="36"/>
        </w:rPr>
      </w:pPr>
    </w:p>
    <w:p w14:paraId="0CFC3004">
      <w:pPr>
        <w:pStyle w:val="NormalWeb"/>
        <w:topLinePunct/>
        <w:adjustRightInd w:val="0"/>
        <w:snapToGrid w:val="0"/>
        <w:spacing w:beforeAutospacing="0" w:afterAutospacing="0" w:line="560" w:lineRule="exact"/>
        <w:jc w:val="center"/>
        <w:rPr>
          <w:rFonts w:ascii="TimesNewRoman" w:eastAsia="黑体" w:hAnsi="TimesNewRoman" w:cs="TimesNewRoman"/>
          <w:bCs/>
          <w:sz w:val="36"/>
          <w:szCs w:val="36"/>
        </w:rPr>
      </w:pPr>
      <w:r>
        <w:rPr>
          <w:rFonts w:ascii="TimesNewRoman" w:eastAsia="黑体" w:hAnsi="TimesNewRoman" w:cs="TimesNewRoman"/>
          <w:bCs/>
          <w:sz w:val="36"/>
          <w:szCs w:val="36"/>
        </w:rPr>
        <w:t>第</w:t>
      </w:r>
      <w:r>
        <w:rPr>
          <w:rFonts w:ascii="TimesNewRoman" w:eastAsia="黑体" w:hAnsi="TimesNewRoman" w:cs="TimesNewRoman" w:hint="eastAsia"/>
          <w:bCs/>
          <w:sz w:val="36"/>
          <w:szCs w:val="36"/>
        </w:rPr>
        <w:t>二</w:t>
      </w:r>
      <w:r>
        <w:rPr>
          <w:rFonts w:ascii="TimesNewRoman" w:eastAsia="黑体" w:hAnsi="TimesNewRoman" w:cs="TimesNewRoman"/>
          <w:bCs/>
          <w:sz w:val="36"/>
          <w:szCs w:val="36"/>
        </w:rPr>
        <w:t xml:space="preserve">部分 </w:t>
      </w:r>
      <w:r>
        <w:rPr>
          <w:rFonts w:ascii="TimesNewRoman" w:eastAsia="黑体" w:hAnsi="TimesNewRoman" w:cs="TimesNewRoman" w:hint="eastAsia"/>
          <w:bCs/>
          <w:sz w:val="36"/>
          <w:szCs w:val="36"/>
        </w:rPr>
        <w:t>2025</w:t>
      </w:r>
      <w:r>
        <w:rPr>
          <w:rFonts w:ascii="TimesNewRoman" w:eastAsia="黑体" w:hAnsi="TimesNewRoman" w:cs="TimesNewRoman"/>
          <w:bCs/>
          <w:sz w:val="36"/>
          <w:szCs w:val="36"/>
        </w:rPr>
        <w:t>年部门预算情况说明</w:t>
      </w:r>
    </w:p>
    <w:p w14:paraId="199E2619">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p>
    <w:p w14:paraId="2848F1C9">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一、关于2025年收支总表的说明</w:t>
      </w:r>
    </w:p>
    <w:p w14:paraId="59B1CF6A">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按照综合预算的原则，</w:t>
      </w: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所有收入和支出均纳入部门预算管理。</w:t>
      </w: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2025年收支总预算</w:t>
      </w:r>
      <w:r>
        <w:rPr>
          <w:rFonts w:ascii="仿宋_GB2312" w:eastAsia="仿宋_GB2312" w:hAnsi="TimesNewRoman" w:cs="TimesNewRoman" w:hint="eastAsia"/>
          <w:sz w:val="32"/>
          <w:szCs w:val="32"/>
          <w:lang w:val="en-US" w:eastAsia="zh-CN"/>
        </w:rPr>
        <w:t>608.2</w:t>
      </w:r>
      <w:r>
        <w:rPr>
          <w:rFonts w:ascii="仿宋_GB2312" w:eastAsia="仿宋_GB2312" w:hAnsi="TimesNewRoman" w:cs="TimesNewRoman" w:hint="eastAsia"/>
          <w:sz w:val="32"/>
          <w:szCs w:val="32"/>
        </w:rPr>
        <w:t>万元，</w:t>
      </w:r>
      <w:r>
        <w:rPr>
          <w:rFonts w:ascii="仿宋_GB2312" w:eastAsia="仿宋_GB2312" w:hAnsi="仿宋" w:hint="eastAsia"/>
          <w:sz w:val="32"/>
          <w:szCs w:val="32"/>
        </w:rPr>
        <w:t>收入仅包括一般公共预算拨款收入</w:t>
      </w:r>
      <w:r>
        <w:rPr>
          <w:rFonts w:ascii="仿宋_GB2312" w:eastAsia="仿宋_GB2312" w:hAnsi="TimesNewRoman" w:cs="TimesNewRoman" w:hint="eastAsia"/>
          <w:sz w:val="32"/>
          <w:szCs w:val="32"/>
          <w:lang w:val="en-US" w:eastAsia="zh-CN"/>
        </w:rPr>
        <w:t>608.2</w:t>
      </w:r>
      <w:r>
        <w:rPr>
          <w:rFonts w:ascii="仿宋_GB2312" w:eastAsia="仿宋_GB2312" w:hAnsi="仿宋" w:hint="eastAsia"/>
          <w:sz w:val="32"/>
          <w:szCs w:val="32"/>
        </w:rPr>
        <w:t>万元，支出包括：</w:t>
      </w:r>
      <w:r>
        <w:rPr>
          <w:rFonts w:ascii="仿宋_GB2312" w:eastAsia="仿宋_GB2312" w:hAnsi="仿宋" w:cs="Times New Roman" w:hint="eastAsia"/>
          <w:kern w:val="2"/>
          <w:sz w:val="32"/>
          <w:szCs w:val="32"/>
        </w:rPr>
        <w:t>一般公共服务支出</w:t>
      </w:r>
      <w:r>
        <w:rPr>
          <w:rFonts w:ascii="仿宋_GB2312" w:eastAsia="仿宋_GB2312" w:hAnsi="仿宋" w:cs="Times New Roman" w:hint="eastAsia"/>
          <w:kern w:val="2"/>
          <w:sz w:val="32"/>
          <w:szCs w:val="32"/>
          <w:lang w:val="en-US" w:eastAsia="zh-CN"/>
        </w:rPr>
        <w:t>475.98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78.3</w:t>
      </w:r>
      <w:r>
        <w:rPr>
          <w:rFonts w:ascii="仿宋_GB2312" w:eastAsia="仿宋_GB2312" w:hAnsi="仿宋" w:cs="Times New Roman" w:hint="eastAsia"/>
          <w:kern w:val="2"/>
          <w:sz w:val="32"/>
          <w:szCs w:val="32"/>
        </w:rPr>
        <w:t>%；社会保障和就业支出</w:t>
      </w:r>
      <w:r>
        <w:rPr>
          <w:rFonts w:ascii="仿宋_GB2312" w:eastAsia="仿宋_GB2312" w:hAnsi="仿宋" w:cs="Times New Roman" w:hint="eastAsia"/>
          <w:kern w:val="2"/>
          <w:sz w:val="32"/>
          <w:szCs w:val="32"/>
          <w:lang w:val="en-US" w:eastAsia="zh-CN"/>
        </w:rPr>
        <w:t>67.08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11</w:t>
      </w:r>
      <w:r>
        <w:rPr>
          <w:rFonts w:ascii="仿宋_GB2312" w:eastAsia="仿宋_GB2312" w:hAnsi="仿宋" w:cs="Times New Roman" w:hint="eastAsia"/>
          <w:kern w:val="2"/>
          <w:sz w:val="32"/>
          <w:szCs w:val="32"/>
        </w:rPr>
        <w:t>%,卫生健康支出</w:t>
      </w:r>
      <w:r>
        <w:rPr>
          <w:rFonts w:ascii="仿宋_GB2312" w:eastAsia="仿宋_GB2312" w:hAnsi="仿宋" w:cs="Times New Roman" w:hint="eastAsia"/>
          <w:kern w:val="2"/>
          <w:sz w:val="32"/>
          <w:szCs w:val="32"/>
          <w:lang w:val="en-US" w:eastAsia="zh-CN"/>
        </w:rPr>
        <w:t>22.8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3.75</w:t>
      </w:r>
      <w:r>
        <w:rPr>
          <w:rFonts w:ascii="仿宋_GB2312" w:eastAsia="仿宋_GB2312" w:hAnsi="仿宋" w:cs="Times New Roman" w:hint="eastAsia"/>
          <w:kern w:val="2"/>
          <w:sz w:val="32"/>
          <w:szCs w:val="32"/>
        </w:rPr>
        <w:t>%，</w:t>
      </w:r>
      <w:r>
        <w:rPr>
          <w:rFonts w:ascii="仿宋_GB2312" w:eastAsia="仿宋_GB2312" w:hAnsi="仿宋" w:cs="Times New Roman" w:hint="eastAsia"/>
          <w:kern w:val="2"/>
          <w:sz w:val="32"/>
          <w:szCs w:val="32"/>
        </w:rPr>
        <w:t>住房保障支出</w:t>
      </w:r>
      <w:r>
        <w:rPr>
          <w:rFonts w:ascii="仿宋_GB2312" w:eastAsia="仿宋_GB2312" w:hAnsi="仿宋" w:cs="Times New Roman" w:hint="eastAsia"/>
          <w:kern w:val="2"/>
          <w:sz w:val="32"/>
          <w:szCs w:val="32"/>
          <w:lang w:val="en-US" w:eastAsia="zh-CN"/>
        </w:rPr>
        <w:t>42.33</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6.95</w:t>
      </w:r>
      <w:r>
        <w:rPr>
          <w:rFonts w:ascii="仿宋_GB2312" w:eastAsia="仿宋_GB2312" w:hAnsi="仿宋" w:cs="Times New Roman" w:hint="eastAsia"/>
          <w:kern w:val="2"/>
          <w:sz w:val="32"/>
          <w:szCs w:val="32"/>
        </w:rPr>
        <w:t>%</w:t>
      </w:r>
      <w:r>
        <w:rPr>
          <w:rFonts w:ascii="仿宋_GB2312" w:eastAsia="仿宋_GB2312" w:hAnsi="仿宋" w:hint="eastAsia"/>
          <w:sz w:val="32"/>
          <w:szCs w:val="32"/>
        </w:rPr>
        <w:t>。</w:t>
      </w:r>
    </w:p>
    <w:p w14:paraId="624881E8">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二、关于2025年收入总表的说明</w:t>
      </w:r>
    </w:p>
    <w:p w14:paraId="2C0C88E5">
      <w:pPr>
        <w:topLinePunct/>
        <w:adjustRightInd w:val="0"/>
        <w:snapToGrid w:val="0"/>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2025年收入预算</w:t>
      </w:r>
      <w:r>
        <w:rPr>
          <w:rFonts w:ascii="仿宋_GB2312" w:eastAsia="仿宋_GB2312" w:hAnsi="TimesNewRoman" w:cs="TimesNewRoman" w:hint="eastAsia"/>
          <w:sz w:val="32"/>
          <w:szCs w:val="32"/>
          <w:lang w:val="en-US" w:eastAsia="zh-CN"/>
        </w:rPr>
        <w:t>608.2</w:t>
      </w:r>
      <w:r>
        <w:rPr>
          <w:rFonts w:ascii="仿宋_GB2312" w:eastAsia="仿宋_GB2312" w:hAnsi="TimesNewRoman" w:cs="TimesNewRoman" w:hint="eastAsia"/>
          <w:sz w:val="32"/>
          <w:szCs w:val="32"/>
        </w:rPr>
        <w:t>万元，其中，本年收入</w:t>
      </w:r>
      <w:r>
        <w:rPr>
          <w:rFonts w:ascii="仿宋_GB2312" w:eastAsia="仿宋_GB2312" w:hAnsi="TimesNewRoman" w:cs="TimesNewRoman" w:hint="eastAsia"/>
          <w:sz w:val="32"/>
          <w:szCs w:val="32"/>
          <w:lang w:val="en-US" w:eastAsia="zh-CN"/>
        </w:rPr>
        <w:t>608.2</w:t>
      </w:r>
      <w:r>
        <w:rPr>
          <w:rFonts w:ascii="仿宋_GB2312" w:eastAsia="仿宋_GB2312" w:hAnsi="TimesNewRoman" w:cs="TimesNewRoman" w:hint="eastAsia"/>
          <w:sz w:val="32"/>
          <w:szCs w:val="32"/>
        </w:rPr>
        <w:t>万元，上年结转收入</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p>
    <w:p w14:paraId="1D079152">
      <w:pPr>
        <w:topLinePunct/>
        <w:adjustRightInd w:val="0"/>
        <w:snapToGrid w:val="0"/>
        <w:spacing w:line="580" w:lineRule="exact"/>
        <w:ind w:firstLine="640" w:firstLineChars="200"/>
        <w:rPr>
          <w:rFonts w:ascii="仿宋_GB2312" w:eastAsia="仿宋_GB2312" w:hAnsi="TimesNewRoman" w:cs="TimesNewRoman" w:hint="eastAsia"/>
          <w:sz w:val="32"/>
          <w:szCs w:val="32"/>
          <w:lang w:val="en-US" w:eastAsia="zh-CN"/>
        </w:rPr>
      </w:pPr>
      <w:r>
        <w:rPr>
          <w:rFonts w:ascii="仿宋_GB2312" w:eastAsia="仿宋_GB2312" w:hAnsi="TimesNewRoman" w:cs="TimesNewRoman" w:hint="eastAsia"/>
          <w:sz w:val="32"/>
          <w:szCs w:val="32"/>
        </w:rPr>
        <w:t>（一）本年收入</w:t>
      </w:r>
      <w:r>
        <w:rPr>
          <w:rFonts w:ascii="仿宋_GB2312" w:eastAsia="仿宋_GB2312" w:hAnsi="TimesNewRoman" w:cs="TimesNewRoman" w:hint="eastAsia"/>
          <w:sz w:val="32"/>
          <w:szCs w:val="32"/>
          <w:lang w:val="en-US" w:eastAsia="zh-CN"/>
        </w:rPr>
        <w:t>608.2</w:t>
      </w:r>
      <w:r>
        <w:rPr>
          <w:rFonts w:ascii="仿宋_GB2312" w:eastAsia="仿宋_GB2312" w:hAnsi="TimesNewRoman" w:cs="TimesNewRoman" w:hint="eastAsia"/>
          <w:sz w:val="32"/>
          <w:szCs w:val="32"/>
        </w:rPr>
        <w:t>万元，全部为一般公共预算拨款收入</w:t>
      </w:r>
      <w:r>
        <w:rPr>
          <w:rFonts w:ascii="仿宋_GB2312" w:eastAsia="仿宋_GB2312" w:hAnsi="TimesNewRoman" w:cs="TimesNewRoman" w:hint="eastAsia"/>
          <w:sz w:val="32"/>
          <w:szCs w:val="32"/>
          <w:lang w:eastAsia="zh-CN"/>
        </w:rPr>
        <w:t>，</w:t>
      </w:r>
      <w:r>
        <w:rPr>
          <w:rFonts w:ascii="仿宋_GB2312" w:eastAsia="仿宋_GB2312" w:hAnsi="TimesNewRoman" w:cs="TimesNewRoman" w:hint="eastAsia"/>
          <w:sz w:val="32"/>
          <w:szCs w:val="32"/>
        </w:rPr>
        <w:t>比2024年预算减少</w:t>
      </w:r>
      <w:r>
        <w:rPr>
          <w:rFonts w:ascii="仿宋_GB2312" w:eastAsia="仿宋_GB2312" w:hAnsi="TimesNewRoman" w:cs="TimesNewRoman" w:hint="eastAsia"/>
          <w:sz w:val="32"/>
          <w:szCs w:val="32"/>
          <w:lang w:val="en-US" w:eastAsia="zh-CN"/>
        </w:rPr>
        <w:t>39.17</w:t>
      </w:r>
      <w:r>
        <w:rPr>
          <w:rFonts w:ascii="仿宋_GB2312" w:eastAsia="仿宋_GB2312" w:hAnsi="TimesNewRoman" w:cs="TimesNewRoman" w:hint="eastAsia"/>
          <w:sz w:val="32"/>
          <w:szCs w:val="32"/>
        </w:rPr>
        <w:t>万元，下降</w:t>
      </w:r>
      <w:r>
        <w:rPr>
          <w:rFonts w:ascii="仿宋_GB2312" w:eastAsia="仿宋_GB2312" w:hAnsi="TimesNewRoman" w:cs="TimesNewRoman" w:hint="eastAsia"/>
          <w:sz w:val="32"/>
          <w:szCs w:val="32"/>
          <w:lang w:val="en-US" w:eastAsia="zh-CN"/>
        </w:rPr>
        <w:t>6</w:t>
      </w:r>
      <w:r>
        <w:rPr>
          <w:rFonts w:ascii="仿宋_GB2312" w:eastAsia="仿宋_GB2312" w:hAnsi="TimesNewRoman" w:cs="TimesNewRoman" w:hint="eastAsia"/>
          <w:sz w:val="32"/>
          <w:szCs w:val="32"/>
        </w:rPr>
        <w:t>%，下降原因主要是</w:t>
      </w:r>
      <w:r>
        <w:rPr>
          <w:rFonts w:ascii="仿宋_GB2312" w:eastAsia="仿宋_GB2312" w:hAnsi="TimesNewRoman" w:cs="TimesNewRoman" w:hint="eastAsia"/>
          <w:sz w:val="32"/>
          <w:szCs w:val="32"/>
          <w:lang w:eastAsia="zh-CN"/>
        </w:rPr>
        <w:t>：</w:t>
      </w:r>
      <w:r>
        <w:rPr>
          <w:rFonts w:ascii="仿宋_GB2312" w:eastAsia="仿宋_GB2312" w:hAnsi="TimesNewRoman" w:cs="TimesNewRoman" w:hint="eastAsia"/>
          <w:sz w:val="32"/>
          <w:szCs w:val="32"/>
          <w:lang w:val="en-US" w:eastAsia="zh-CN"/>
        </w:rPr>
        <w:t>1.2025年度单位人员减少2人，导致人员经费减少；2.贯彻厉行节约过紧日子要求，本年度一般性支出预算预算进一步压减。</w:t>
      </w:r>
    </w:p>
    <w:p w14:paraId="6FD76175">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三、关于2025年支出总表的说明</w:t>
      </w:r>
    </w:p>
    <w:p w14:paraId="16B16310">
      <w:pPr>
        <w:topLinePunct/>
        <w:adjustRightInd w:val="0"/>
        <w:snapToGrid w:val="0"/>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2025年支出预算</w:t>
      </w:r>
      <w:r>
        <w:rPr>
          <w:rFonts w:ascii="仿宋_GB2312" w:eastAsia="仿宋_GB2312" w:hAnsi="TimesNewRoman" w:cs="TimesNewRoman" w:hint="eastAsia"/>
          <w:sz w:val="32"/>
          <w:szCs w:val="32"/>
          <w:lang w:val="en-US" w:eastAsia="zh-CN"/>
        </w:rPr>
        <w:t>608.2</w:t>
      </w:r>
      <w:r>
        <w:rPr>
          <w:rFonts w:ascii="仿宋_GB2312" w:eastAsia="仿宋_GB2312" w:hAnsi="TimesNewRoman" w:cs="TimesNewRoman" w:hint="eastAsia"/>
          <w:sz w:val="32"/>
          <w:szCs w:val="32"/>
        </w:rPr>
        <w:t>万元，比202</w:t>
      </w:r>
      <w:r>
        <w:rPr>
          <w:rFonts w:ascii="仿宋_GB2312" w:eastAsia="仿宋_GB2312" w:hAnsi="TimesNewRoman" w:cs="TimesNewRoman" w:hint="eastAsia"/>
          <w:sz w:val="32"/>
          <w:szCs w:val="32"/>
          <w:lang w:val="en-US" w:eastAsia="zh-CN"/>
        </w:rPr>
        <w:t>5</w:t>
      </w:r>
      <w:r>
        <w:rPr>
          <w:rFonts w:ascii="仿宋_GB2312" w:eastAsia="仿宋_GB2312" w:hAnsi="TimesNewRoman" w:cs="TimesNewRoman" w:hint="eastAsia"/>
          <w:sz w:val="32"/>
          <w:szCs w:val="32"/>
        </w:rPr>
        <w:t>年预算减少</w:t>
      </w:r>
      <w:r>
        <w:rPr>
          <w:rFonts w:ascii="仿宋_GB2312" w:eastAsia="仿宋_GB2312" w:hAnsi="TimesNewRoman" w:cs="TimesNewRoman" w:hint="eastAsia"/>
          <w:sz w:val="32"/>
          <w:szCs w:val="32"/>
          <w:lang w:val="en-US" w:eastAsia="zh-CN"/>
        </w:rPr>
        <w:t>39.17</w:t>
      </w:r>
      <w:r>
        <w:rPr>
          <w:rFonts w:ascii="仿宋_GB2312" w:eastAsia="仿宋_GB2312" w:hAnsi="TimesNewRoman" w:cs="TimesNewRoman" w:hint="eastAsia"/>
          <w:sz w:val="32"/>
          <w:szCs w:val="32"/>
        </w:rPr>
        <w:t>万元，下降</w:t>
      </w:r>
      <w:r>
        <w:rPr>
          <w:rFonts w:ascii="仿宋_GB2312" w:eastAsia="仿宋_GB2312" w:hAnsi="TimesNewRoman" w:cs="TimesNewRoman" w:hint="eastAsia"/>
          <w:sz w:val="32"/>
          <w:szCs w:val="32"/>
          <w:lang w:val="en-US" w:eastAsia="zh-CN"/>
        </w:rPr>
        <w:t>6</w:t>
      </w:r>
      <w:r>
        <w:rPr>
          <w:rFonts w:ascii="仿宋_GB2312" w:eastAsia="仿宋_GB2312" w:hAnsi="TimesNewRoman" w:cs="TimesNewRoman" w:hint="eastAsia"/>
          <w:sz w:val="32"/>
          <w:szCs w:val="32"/>
        </w:rPr>
        <w:t>%，下降原因主要是</w:t>
      </w:r>
      <w:r>
        <w:rPr>
          <w:rFonts w:ascii="仿宋_GB2312" w:eastAsia="仿宋_GB2312" w:hAnsi="TimesNewRoman" w:cs="TimesNewRoman" w:hint="eastAsia"/>
          <w:sz w:val="32"/>
          <w:szCs w:val="32"/>
          <w:lang w:eastAsia="zh-CN"/>
        </w:rPr>
        <w:t>：</w:t>
      </w:r>
      <w:r>
        <w:rPr>
          <w:rFonts w:ascii="仿宋_GB2312" w:eastAsia="仿宋_GB2312" w:hAnsi="TimesNewRoman" w:cs="TimesNewRoman" w:hint="eastAsia"/>
          <w:sz w:val="32"/>
          <w:szCs w:val="32"/>
          <w:lang w:val="en-US" w:eastAsia="zh-CN"/>
        </w:rPr>
        <w:t>1.2025年度单位人员减少2人，导致人员经费减少；2.贯彻厉行节约过紧日子要求，本年度一般性支出预算预算进一步压减。</w:t>
      </w:r>
      <w:r>
        <w:rPr>
          <w:rFonts w:ascii="仿宋_GB2312" w:eastAsia="仿宋_GB2312" w:hAnsi="TimesNewRoman" w:cs="TimesNewRoman" w:hint="eastAsia"/>
          <w:sz w:val="32"/>
          <w:szCs w:val="32"/>
        </w:rPr>
        <w:t>其中，基本支出</w:t>
      </w:r>
      <w:r>
        <w:rPr>
          <w:rFonts w:ascii="仿宋_GB2312" w:eastAsia="仿宋_GB2312" w:hAnsi="TimesNewRoman" w:cs="TimesNewRoman" w:hint="eastAsia"/>
          <w:sz w:val="32"/>
          <w:szCs w:val="32"/>
          <w:lang w:val="en-US" w:eastAsia="zh-CN"/>
        </w:rPr>
        <w:t>509.09</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83.7</w:t>
      </w:r>
      <w:r>
        <w:rPr>
          <w:rFonts w:ascii="仿宋_GB2312" w:eastAsia="仿宋_GB2312" w:hAnsi="TimesNewRoman" w:cs="TimesNewRoman" w:hint="eastAsia"/>
          <w:sz w:val="32"/>
          <w:szCs w:val="32"/>
        </w:rPr>
        <w:t>%，主要用于保障机构日常运转、完成日常工作任务；项目支出</w:t>
      </w:r>
      <w:r>
        <w:rPr>
          <w:rFonts w:ascii="仿宋_GB2312" w:eastAsia="仿宋_GB2312" w:hAnsi="TimesNewRoman" w:cs="TimesNewRoman" w:hint="eastAsia"/>
          <w:sz w:val="32"/>
          <w:szCs w:val="32"/>
          <w:lang w:val="en-US" w:eastAsia="zh-CN"/>
        </w:rPr>
        <w:t>99.11</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16.3%</w:t>
      </w:r>
      <w:r>
        <w:rPr>
          <w:rFonts w:ascii="仿宋_GB2312" w:eastAsia="仿宋_GB2312" w:hAnsi="TimesNewRoman" w:cs="TimesNewRoman" w:hint="eastAsia"/>
          <w:sz w:val="32"/>
          <w:szCs w:val="32"/>
        </w:rPr>
        <w:t>，主要用于</w:t>
      </w:r>
      <w:r>
        <w:rPr>
          <w:rFonts w:ascii="仿宋_GB2312" w:eastAsia="仿宋_GB2312" w:hAnsi="TimesNewRoman" w:cs="TimesNewRoman" w:hint="eastAsia"/>
          <w:sz w:val="32"/>
          <w:szCs w:val="32"/>
          <w:lang w:val="en-US" w:eastAsia="zh-CN"/>
        </w:rPr>
        <w:t>机要保密调研档案法规督察等专项工作相关支出</w:t>
      </w:r>
      <w:r>
        <w:rPr>
          <w:rFonts w:ascii="仿宋_GB2312" w:eastAsia="仿宋_GB2312" w:hAnsi="TimesNewRoman" w:cs="TimesNewRoman" w:hint="eastAsia"/>
          <w:sz w:val="32"/>
          <w:szCs w:val="32"/>
        </w:rPr>
        <w:t>；</w:t>
      </w:r>
      <w:r>
        <w:rPr>
          <w:rFonts w:ascii="仿宋_GB2312" w:eastAsia="仿宋_GB2312" w:hAnsi="TimesNewRoman" w:cs="TimesNewRoman" w:hint="eastAsia"/>
          <w:sz w:val="32"/>
          <w:szCs w:val="32"/>
          <w:lang w:eastAsia="zh-CN"/>
        </w:rPr>
        <w:t>无</w:t>
      </w:r>
      <w:r>
        <w:rPr>
          <w:rFonts w:ascii="仿宋_GB2312" w:eastAsia="仿宋_GB2312" w:hAnsi="TimesNewRoman" w:cs="TimesNewRoman" w:hint="eastAsia"/>
          <w:sz w:val="32"/>
          <w:szCs w:val="32"/>
        </w:rPr>
        <w:t>经营支出；上缴上级支出</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%；对附属单位补助支出</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w:t>
      </w:r>
    </w:p>
    <w:p w14:paraId="0D00298F">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四、关于2025年财政拨款收支总表的说明</w:t>
      </w:r>
    </w:p>
    <w:p w14:paraId="1CB439E7">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2025年财政拨款收支预算</w:t>
      </w:r>
      <w:r>
        <w:rPr>
          <w:rFonts w:ascii="仿宋_GB2312" w:eastAsia="仿宋_GB2312" w:hAnsi="TimesNewRoman" w:cs="TimesNewRoman" w:hint="eastAsia"/>
          <w:sz w:val="32"/>
          <w:szCs w:val="32"/>
          <w:lang w:val="en-US" w:eastAsia="zh-CN"/>
        </w:rPr>
        <w:t>608.2</w:t>
      </w:r>
      <w:r>
        <w:rPr>
          <w:rFonts w:ascii="仿宋_GB2312" w:eastAsia="仿宋_GB2312" w:hAnsi="TimesNewRoman" w:cs="TimesNewRoman" w:hint="eastAsia"/>
          <w:sz w:val="32"/>
          <w:szCs w:val="32"/>
        </w:rPr>
        <w:t>万元。收入按资金来源分全部为一般公共预算拨款；按资金年度分全部为当年财政拨款收入。支出按功能分类分为：</w:t>
      </w:r>
      <w:r>
        <w:rPr>
          <w:rFonts w:ascii="仿宋_GB2312" w:eastAsia="仿宋_GB2312" w:hAnsi="仿宋" w:cs="Times New Roman" w:hint="eastAsia"/>
          <w:kern w:val="2"/>
          <w:sz w:val="32"/>
          <w:szCs w:val="32"/>
        </w:rPr>
        <w:t>一般公共服务支出</w:t>
      </w:r>
      <w:r>
        <w:rPr>
          <w:rFonts w:ascii="仿宋_GB2312" w:eastAsia="仿宋_GB2312" w:hAnsi="仿宋" w:cs="Times New Roman" w:hint="eastAsia"/>
          <w:kern w:val="2"/>
          <w:sz w:val="32"/>
          <w:szCs w:val="32"/>
          <w:lang w:val="en-US" w:eastAsia="zh-CN"/>
        </w:rPr>
        <w:t>475.98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78.3</w:t>
      </w:r>
      <w:r>
        <w:rPr>
          <w:rFonts w:ascii="仿宋_GB2312" w:eastAsia="仿宋_GB2312" w:hAnsi="仿宋" w:cs="Times New Roman" w:hint="eastAsia"/>
          <w:kern w:val="2"/>
          <w:sz w:val="32"/>
          <w:szCs w:val="32"/>
        </w:rPr>
        <w:t>%；社会保障和就业支出</w:t>
      </w:r>
      <w:r>
        <w:rPr>
          <w:rFonts w:ascii="仿宋_GB2312" w:eastAsia="仿宋_GB2312" w:hAnsi="仿宋" w:cs="Times New Roman" w:hint="eastAsia"/>
          <w:kern w:val="2"/>
          <w:sz w:val="32"/>
          <w:szCs w:val="32"/>
          <w:lang w:val="en-US" w:eastAsia="zh-CN"/>
        </w:rPr>
        <w:t>67.08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11</w:t>
      </w:r>
      <w:r>
        <w:rPr>
          <w:rFonts w:ascii="仿宋_GB2312" w:eastAsia="仿宋_GB2312" w:hAnsi="仿宋" w:cs="Times New Roman" w:hint="eastAsia"/>
          <w:kern w:val="2"/>
          <w:sz w:val="32"/>
          <w:szCs w:val="32"/>
        </w:rPr>
        <w:t>%,卫生健康支出</w:t>
      </w:r>
      <w:r>
        <w:rPr>
          <w:rFonts w:ascii="仿宋_GB2312" w:eastAsia="仿宋_GB2312" w:hAnsi="仿宋" w:cs="Times New Roman" w:hint="eastAsia"/>
          <w:kern w:val="2"/>
          <w:sz w:val="32"/>
          <w:szCs w:val="32"/>
          <w:lang w:val="en-US" w:eastAsia="zh-CN"/>
        </w:rPr>
        <w:t>22.8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3.75</w:t>
      </w:r>
      <w:r>
        <w:rPr>
          <w:rFonts w:ascii="仿宋_GB2312" w:eastAsia="仿宋_GB2312" w:hAnsi="仿宋" w:cs="Times New Roman" w:hint="eastAsia"/>
          <w:kern w:val="2"/>
          <w:sz w:val="32"/>
          <w:szCs w:val="32"/>
        </w:rPr>
        <w:t>%，</w:t>
      </w:r>
      <w:r>
        <w:rPr>
          <w:rFonts w:ascii="仿宋_GB2312" w:eastAsia="仿宋_GB2312" w:hAnsi="仿宋" w:cs="Times New Roman" w:hint="eastAsia"/>
          <w:kern w:val="2"/>
          <w:sz w:val="32"/>
          <w:szCs w:val="32"/>
        </w:rPr>
        <w:t>住房保障支出</w:t>
      </w:r>
      <w:r>
        <w:rPr>
          <w:rFonts w:ascii="仿宋_GB2312" w:eastAsia="仿宋_GB2312" w:hAnsi="仿宋" w:cs="Times New Roman" w:hint="eastAsia"/>
          <w:kern w:val="2"/>
          <w:sz w:val="32"/>
          <w:szCs w:val="32"/>
          <w:lang w:val="en-US" w:eastAsia="zh-CN"/>
        </w:rPr>
        <w:t>42.33</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6.95</w:t>
      </w:r>
      <w:r>
        <w:rPr>
          <w:rFonts w:ascii="仿宋_GB2312" w:eastAsia="仿宋_GB2312" w:hAnsi="仿宋" w:cs="Times New Roman" w:hint="eastAsia"/>
          <w:kern w:val="2"/>
          <w:sz w:val="32"/>
          <w:szCs w:val="32"/>
        </w:rPr>
        <w:t>%</w:t>
      </w:r>
      <w:r>
        <w:rPr>
          <w:rFonts w:ascii="仿宋_GB2312" w:eastAsia="仿宋_GB2312" w:hAnsi="仿宋" w:hint="eastAsia"/>
          <w:sz w:val="32"/>
          <w:szCs w:val="32"/>
        </w:rPr>
        <w:t>。</w:t>
      </w:r>
    </w:p>
    <w:p w14:paraId="47325335">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五、关于2025年一般公共预算支出表的说明</w:t>
      </w:r>
    </w:p>
    <w:p w14:paraId="73809972">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（一）一般公共预算支出规模变化情况。</w:t>
      </w:r>
    </w:p>
    <w:p w14:paraId="046336C6">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2025年一般公共预算支出</w:t>
      </w:r>
      <w:r>
        <w:rPr>
          <w:rFonts w:ascii="仿宋_GB2312" w:eastAsia="仿宋_GB2312" w:hAnsi="TimesNewRoman" w:cs="TimesNewRoman" w:hint="eastAsia"/>
          <w:sz w:val="32"/>
          <w:szCs w:val="32"/>
          <w:lang w:val="en-US" w:eastAsia="zh-CN"/>
        </w:rPr>
        <w:t>608.2</w:t>
      </w:r>
      <w:r>
        <w:rPr>
          <w:rFonts w:ascii="仿宋_GB2312" w:eastAsia="仿宋_GB2312" w:hAnsi="TimesNewRoman" w:cs="TimesNewRoman" w:hint="eastAsia"/>
          <w:sz w:val="32"/>
          <w:szCs w:val="32"/>
        </w:rPr>
        <w:t>万元，比2024年预算减少</w:t>
      </w:r>
      <w:r>
        <w:rPr>
          <w:rFonts w:ascii="仿宋_GB2312" w:eastAsia="仿宋_GB2312" w:hAnsi="TimesNewRoman" w:cs="TimesNewRoman" w:hint="eastAsia"/>
          <w:sz w:val="32"/>
          <w:szCs w:val="32"/>
          <w:lang w:val="en-US" w:eastAsia="zh-CN"/>
        </w:rPr>
        <w:t>39.17</w:t>
      </w:r>
      <w:r>
        <w:rPr>
          <w:rFonts w:ascii="仿宋_GB2312" w:eastAsia="仿宋_GB2312" w:hAnsi="TimesNewRoman" w:cs="TimesNewRoman" w:hint="eastAsia"/>
          <w:sz w:val="32"/>
          <w:szCs w:val="32"/>
        </w:rPr>
        <w:t>万元，下降</w:t>
      </w:r>
      <w:r>
        <w:rPr>
          <w:rFonts w:ascii="仿宋_GB2312" w:eastAsia="仿宋_GB2312" w:hAnsi="TimesNewRoman" w:cs="TimesNewRoman" w:hint="eastAsia"/>
          <w:sz w:val="32"/>
          <w:szCs w:val="32"/>
          <w:lang w:val="en-US" w:eastAsia="zh-CN"/>
        </w:rPr>
        <w:t>6</w:t>
      </w:r>
      <w:r>
        <w:rPr>
          <w:rFonts w:ascii="仿宋_GB2312" w:eastAsia="仿宋_GB2312" w:hAnsi="TimesNewRoman" w:cs="TimesNewRoman" w:hint="eastAsia"/>
          <w:sz w:val="32"/>
          <w:szCs w:val="32"/>
        </w:rPr>
        <w:t>%，下降原因主要是</w:t>
      </w:r>
      <w:r>
        <w:rPr>
          <w:rFonts w:ascii="仿宋_GB2312" w:eastAsia="仿宋_GB2312" w:hAnsi="TimesNewRoman" w:cs="TimesNewRoman" w:hint="eastAsia"/>
          <w:sz w:val="32"/>
          <w:szCs w:val="32"/>
          <w:lang w:eastAsia="zh-CN"/>
        </w:rPr>
        <w:t>：</w:t>
      </w:r>
      <w:r>
        <w:rPr>
          <w:rFonts w:ascii="仿宋_GB2312" w:eastAsia="仿宋_GB2312" w:hAnsi="TimesNewRoman" w:cs="TimesNewRoman" w:hint="eastAsia"/>
          <w:sz w:val="32"/>
          <w:szCs w:val="32"/>
          <w:lang w:val="en-US" w:eastAsia="zh-CN"/>
        </w:rPr>
        <w:t>1.2025年度单位人员减少2人，导致人员经费减少；2.贯彻厉行节约过紧日子要求，本年度一般性支出预算预算进一步压减。</w:t>
      </w:r>
    </w:p>
    <w:p w14:paraId="72B29FE2">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（二）一般公共预算支出结构情况。</w:t>
      </w:r>
    </w:p>
    <w:p w14:paraId="5C7C670D">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hint="eastAsia"/>
          <w:sz w:val="32"/>
          <w:szCs w:val="32"/>
        </w:rPr>
      </w:pPr>
      <w:r>
        <w:rPr>
          <w:rFonts w:ascii="仿宋_GB2312" w:eastAsia="仿宋_GB2312" w:hAnsi="仿宋" w:cs="Times New Roman" w:hint="eastAsia"/>
          <w:kern w:val="2"/>
          <w:sz w:val="32"/>
          <w:szCs w:val="32"/>
        </w:rPr>
        <w:t>一般公共服务支出</w:t>
      </w:r>
      <w:r>
        <w:rPr>
          <w:rFonts w:ascii="仿宋_GB2312" w:eastAsia="仿宋_GB2312" w:hAnsi="仿宋" w:cs="Times New Roman" w:hint="eastAsia"/>
          <w:kern w:val="2"/>
          <w:sz w:val="32"/>
          <w:szCs w:val="32"/>
          <w:lang w:val="en-US" w:eastAsia="zh-CN"/>
        </w:rPr>
        <w:t>475.98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78.3</w:t>
      </w:r>
      <w:r>
        <w:rPr>
          <w:rFonts w:ascii="仿宋_GB2312" w:eastAsia="仿宋_GB2312" w:hAnsi="仿宋" w:cs="Times New Roman" w:hint="eastAsia"/>
          <w:kern w:val="2"/>
          <w:sz w:val="32"/>
          <w:szCs w:val="32"/>
        </w:rPr>
        <w:t>%；社会保障和就业支出</w:t>
      </w:r>
      <w:r>
        <w:rPr>
          <w:rFonts w:ascii="仿宋_GB2312" w:eastAsia="仿宋_GB2312" w:hAnsi="仿宋" w:cs="Times New Roman" w:hint="eastAsia"/>
          <w:kern w:val="2"/>
          <w:sz w:val="32"/>
          <w:szCs w:val="32"/>
          <w:lang w:val="en-US" w:eastAsia="zh-CN"/>
        </w:rPr>
        <w:t>67.08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11</w:t>
      </w:r>
      <w:r>
        <w:rPr>
          <w:rFonts w:ascii="仿宋_GB2312" w:eastAsia="仿宋_GB2312" w:hAnsi="仿宋" w:cs="Times New Roman" w:hint="eastAsia"/>
          <w:kern w:val="2"/>
          <w:sz w:val="32"/>
          <w:szCs w:val="32"/>
        </w:rPr>
        <w:t>%,卫生健康支出</w:t>
      </w:r>
      <w:r>
        <w:rPr>
          <w:rFonts w:ascii="仿宋_GB2312" w:eastAsia="仿宋_GB2312" w:hAnsi="仿宋" w:cs="Times New Roman" w:hint="eastAsia"/>
          <w:kern w:val="2"/>
          <w:sz w:val="32"/>
          <w:szCs w:val="32"/>
          <w:lang w:val="en-US" w:eastAsia="zh-CN"/>
        </w:rPr>
        <w:t>22.8</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3.75</w:t>
      </w:r>
      <w:r>
        <w:rPr>
          <w:rFonts w:ascii="仿宋_GB2312" w:eastAsia="仿宋_GB2312" w:hAnsi="仿宋" w:cs="Times New Roman" w:hint="eastAsia"/>
          <w:kern w:val="2"/>
          <w:sz w:val="32"/>
          <w:szCs w:val="32"/>
        </w:rPr>
        <w:t>%，</w:t>
      </w:r>
      <w:r>
        <w:rPr>
          <w:rFonts w:ascii="仿宋_GB2312" w:eastAsia="仿宋_GB2312" w:hAnsi="仿宋" w:cs="Times New Roman" w:hint="eastAsia"/>
          <w:kern w:val="2"/>
          <w:sz w:val="32"/>
          <w:szCs w:val="32"/>
        </w:rPr>
        <w:t>住房保障支出</w:t>
      </w:r>
      <w:r>
        <w:rPr>
          <w:rFonts w:ascii="仿宋_GB2312" w:eastAsia="仿宋_GB2312" w:hAnsi="仿宋" w:cs="Times New Roman" w:hint="eastAsia"/>
          <w:kern w:val="2"/>
          <w:sz w:val="32"/>
          <w:szCs w:val="32"/>
          <w:lang w:val="en-US" w:eastAsia="zh-CN"/>
        </w:rPr>
        <w:t>42.33</w:t>
      </w:r>
      <w:r>
        <w:rPr>
          <w:rFonts w:ascii="仿宋_GB2312" w:eastAsia="仿宋_GB2312" w:hAnsi="仿宋" w:cs="Times New Roman" w:hint="eastAsia"/>
          <w:kern w:val="2"/>
          <w:sz w:val="32"/>
          <w:szCs w:val="32"/>
        </w:rPr>
        <w:t>万元，占</w:t>
      </w:r>
      <w:r>
        <w:rPr>
          <w:rFonts w:ascii="仿宋_GB2312" w:eastAsia="仿宋_GB2312" w:hAnsi="仿宋" w:cs="Times New Roman" w:hint="eastAsia"/>
          <w:kern w:val="2"/>
          <w:sz w:val="32"/>
          <w:szCs w:val="32"/>
          <w:lang w:val="en-US" w:eastAsia="zh-CN"/>
        </w:rPr>
        <w:t>6.95</w:t>
      </w:r>
      <w:r>
        <w:rPr>
          <w:rFonts w:ascii="仿宋_GB2312" w:eastAsia="仿宋_GB2312" w:hAnsi="仿宋" w:cs="Times New Roman" w:hint="eastAsia"/>
          <w:kern w:val="2"/>
          <w:sz w:val="32"/>
          <w:szCs w:val="32"/>
        </w:rPr>
        <w:t>%</w:t>
      </w:r>
      <w:r>
        <w:rPr>
          <w:rFonts w:ascii="仿宋_GB2312" w:eastAsia="仿宋_GB2312" w:hAnsi="仿宋" w:hint="eastAsia"/>
          <w:sz w:val="32"/>
          <w:szCs w:val="32"/>
        </w:rPr>
        <w:t>。</w:t>
      </w:r>
    </w:p>
    <w:p w14:paraId="3C8F4ADF">
      <w:pPr>
        <w:topLinePunct/>
        <w:adjustRightInd w:val="0"/>
        <w:snapToGrid w:val="0"/>
        <w:spacing w:line="58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（三）一般公共预算支出具体使用情况。</w:t>
      </w:r>
    </w:p>
    <w:p w14:paraId="4A5F6B5E">
      <w:pPr>
        <w:pStyle w:val="NormalWeb"/>
        <w:adjustRightInd w:val="0"/>
        <w:snapToGrid w:val="0"/>
        <w:spacing w:before="0" w:beforeAutospacing="0" w:after="0" w:afterAutospacing="0" w:line="600" w:lineRule="exact"/>
        <w:ind w:firstLine="627" w:firstLineChars="196"/>
        <w:rPr>
          <w:rFonts w:ascii="仿宋_GB2312" w:eastAsia="仿宋_GB2312" w:hAnsi="仿宋" w:hint="eastAsia"/>
          <w:sz w:val="32"/>
          <w:szCs w:val="32"/>
          <w:lang w:eastAsia="zh-CN"/>
        </w:rPr>
      </w:pPr>
      <w:r>
        <w:rPr>
          <w:rFonts w:ascii="仿宋" w:eastAsia="仿宋" w:hAnsi="仿宋" w:hint="eastAsia"/>
          <w:b/>
          <w:sz w:val="32"/>
          <w:szCs w:val="32"/>
        </w:rPr>
        <w:t>1.（</w:t>
      </w:r>
      <w:r>
        <w:rPr>
          <w:rFonts w:ascii="仿宋_GB2312" w:eastAsia="仿宋_GB2312" w:hAnsi="仿宋" w:hint="eastAsia"/>
          <w:b/>
          <w:sz w:val="32"/>
          <w:szCs w:val="32"/>
        </w:rPr>
        <w:t xml:space="preserve"> 一般公共服务支出（类）党委办公厅（室）及相关机构（款）行政运行（项）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475.98</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减少36.05</w:t>
      </w:r>
      <w:r>
        <w:rPr>
          <w:rFonts w:ascii="仿宋_GB2312" w:eastAsia="仿宋_GB2312" w:hAnsi="仿宋" w:hint="eastAsia"/>
          <w:sz w:val="32"/>
          <w:szCs w:val="32"/>
        </w:rPr>
        <w:t>万元，</w:t>
      </w:r>
      <w:r>
        <w:rPr>
          <w:rFonts w:ascii="仿宋_GB2312" w:eastAsia="仿宋_GB2312" w:hAnsi="仿宋" w:hint="eastAsia"/>
          <w:sz w:val="32"/>
          <w:szCs w:val="32"/>
          <w:lang w:val="en-US" w:eastAsia="zh-CN"/>
        </w:rPr>
        <w:t>减少7</w:t>
      </w:r>
      <w:r>
        <w:rPr>
          <w:rFonts w:ascii="仿宋_GB2312" w:eastAsia="仿宋_GB2312" w:hAnsi="仿宋" w:hint="eastAsia"/>
          <w:sz w:val="32"/>
          <w:szCs w:val="32"/>
        </w:rPr>
        <w:t>%，</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纪检组人员预算在纪检委编制，人员经费减少。</w:t>
      </w:r>
    </w:p>
    <w:p w14:paraId="67975FDE">
      <w:pPr>
        <w:pStyle w:val="NormalWeb"/>
        <w:adjustRightInd w:val="0"/>
        <w:snapToGrid w:val="0"/>
        <w:spacing w:before="0" w:beforeAutospacing="0" w:after="0" w:afterAutospacing="0" w:line="600" w:lineRule="exact"/>
        <w:ind w:firstLine="627" w:firstLineChars="196"/>
        <w:rPr>
          <w:rFonts w:ascii="仿宋_GB2312" w:eastAsia="仿宋_GB2312" w:hAnsi="仿宋"/>
          <w:sz w:val="32"/>
          <w:szCs w:val="32"/>
        </w:rPr>
      </w:pPr>
      <w:r>
        <w:rPr>
          <w:rFonts w:ascii="仿宋_GB2312" w:eastAsia="仿宋_GB2312" w:hAnsi="TimesNewRoman" w:cs="TimesNewRoman" w:hint="eastAsia"/>
          <w:b/>
          <w:sz w:val="32"/>
          <w:szCs w:val="32"/>
        </w:rPr>
        <w:t>2.</w:t>
      </w:r>
      <w:r>
        <w:rPr>
          <w:rFonts w:ascii="仿宋" w:eastAsia="仿宋" w:hAnsi="仿宋" w:hint="eastAsia"/>
          <w:b/>
          <w:sz w:val="32"/>
          <w:szCs w:val="32"/>
        </w:rPr>
        <w:t>社会保障和就业支出（类） 行政事业单位养老支出（款）  机关事业单位基本养老保险缴费支出（项）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44.44</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减少3.64</w:t>
      </w:r>
      <w:r>
        <w:rPr>
          <w:rFonts w:ascii="仿宋_GB2312" w:eastAsia="仿宋_GB2312" w:hAnsi="仿宋" w:hint="eastAsia"/>
          <w:sz w:val="32"/>
          <w:szCs w:val="32"/>
        </w:rPr>
        <w:t>万元，</w:t>
      </w:r>
      <w:r>
        <w:rPr>
          <w:rFonts w:ascii="仿宋_GB2312" w:eastAsia="仿宋_GB2312" w:hAnsi="仿宋" w:hint="eastAsia"/>
          <w:sz w:val="32"/>
          <w:szCs w:val="32"/>
          <w:lang w:val="en-US" w:eastAsia="zh-CN"/>
        </w:rPr>
        <w:t>下降7.5</w:t>
      </w:r>
      <w:r>
        <w:rPr>
          <w:rFonts w:ascii="仿宋_GB2312" w:eastAsia="仿宋_GB2312" w:hAnsi="仿宋" w:hint="eastAsia"/>
          <w:sz w:val="32"/>
          <w:szCs w:val="32"/>
        </w:rPr>
        <w:t>%，</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纪检组人员预算在纪检委编制，</w:t>
      </w:r>
      <w:r>
        <w:rPr>
          <w:rFonts w:ascii="仿宋_GB2312" w:eastAsia="仿宋_GB2312" w:hAnsi="仿宋" w:hint="eastAsia"/>
          <w:sz w:val="32"/>
          <w:szCs w:val="32"/>
        </w:rPr>
        <w:t>导致</w:t>
      </w:r>
      <w:r>
        <w:rPr>
          <w:rFonts w:ascii="仿宋_GB2312" w:eastAsia="仿宋_GB2312" w:hAnsi="仿宋" w:hint="eastAsia"/>
          <w:sz w:val="32"/>
          <w:szCs w:val="32"/>
          <w:lang w:val="en-US" w:eastAsia="zh-CN"/>
        </w:rPr>
        <w:t>缴</w:t>
      </w:r>
      <w:r>
        <w:rPr>
          <w:rFonts w:ascii="仿宋_GB2312" w:eastAsia="仿宋_GB2312" w:hAnsi="仿宋" w:hint="eastAsia"/>
          <w:sz w:val="32"/>
          <w:szCs w:val="32"/>
        </w:rPr>
        <w:t>费基数</w:t>
      </w:r>
      <w:r>
        <w:rPr>
          <w:rFonts w:ascii="仿宋_GB2312" w:eastAsia="仿宋_GB2312" w:hAnsi="仿宋" w:hint="eastAsia"/>
          <w:sz w:val="32"/>
          <w:szCs w:val="32"/>
          <w:lang w:val="en-US" w:eastAsia="zh-CN"/>
        </w:rPr>
        <w:t>变小</w:t>
      </w:r>
      <w:r>
        <w:rPr>
          <w:rFonts w:ascii="仿宋_GB2312" w:eastAsia="仿宋_GB2312" w:hAnsi="仿宋" w:hint="eastAsia"/>
          <w:sz w:val="32"/>
          <w:szCs w:val="32"/>
        </w:rPr>
        <w:t>，缴费</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w:t>
      </w:r>
    </w:p>
    <w:p w14:paraId="1B227028">
      <w:pPr>
        <w:pStyle w:val="NormalWeb"/>
        <w:adjustRightInd w:val="0"/>
        <w:snapToGrid w:val="0"/>
        <w:spacing w:before="0" w:beforeAutospacing="0" w:after="0" w:afterAutospacing="0" w:line="600" w:lineRule="exact"/>
        <w:ind w:firstLine="627" w:firstLineChars="196"/>
        <w:rPr>
          <w:rFonts w:ascii="仿宋_GB2312" w:eastAsia="仿宋_GB2312" w:hAnsi="仿宋"/>
          <w:sz w:val="32"/>
          <w:szCs w:val="32"/>
        </w:rPr>
      </w:pPr>
      <w:r>
        <w:rPr>
          <w:rFonts w:ascii="仿宋_GB2312" w:eastAsia="仿宋_GB2312" w:hAnsi="TimesNewRoman" w:cs="TimesNewRoman" w:hint="eastAsia"/>
          <w:b/>
          <w:sz w:val="32"/>
          <w:szCs w:val="32"/>
        </w:rPr>
        <w:t>3.</w:t>
      </w:r>
      <w:r>
        <w:rPr>
          <w:rFonts w:ascii="仿宋" w:eastAsia="仿宋" w:hAnsi="仿宋" w:hint="eastAsia"/>
          <w:b/>
          <w:sz w:val="32"/>
          <w:szCs w:val="32"/>
        </w:rPr>
        <w:t>社会保障和就业支出（类） 行政事业单位养老支出（款）机关事业单位职业年金缴费支出（项）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22.22</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减少1.82</w:t>
      </w:r>
      <w:r>
        <w:rPr>
          <w:rFonts w:ascii="仿宋_GB2312" w:eastAsia="仿宋_GB2312" w:hAnsi="仿宋" w:hint="eastAsia"/>
          <w:sz w:val="32"/>
          <w:szCs w:val="32"/>
        </w:rPr>
        <w:t>万元，</w:t>
      </w:r>
      <w:r>
        <w:rPr>
          <w:rFonts w:ascii="仿宋_GB2312" w:eastAsia="仿宋_GB2312" w:hAnsi="仿宋" w:hint="eastAsia"/>
          <w:sz w:val="32"/>
          <w:szCs w:val="32"/>
          <w:lang w:val="en-US" w:eastAsia="zh-CN"/>
        </w:rPr>
        <w:t>下降7.5</w:t>
      </w:r>
      <w:r>
        <w:rPr>
          <w:rFonts w:ascii="仿宋_GB2312" w:eastAsia="仿宋_GB2312" w:hAnsi="仿宋" w:hint="eastAsia"/>
          <w:sz w:val="32"/>
          <w:szCs w:val="32"/>
        </w:rPr>
        <w:t>%，</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纪检组人员预算在纪检委编制，</w:t>
      </w:r>
      <w:r>
        <w:rPr>
          <w:rFonts w:ascii="仿宋_GB2312" w:eastAsia="仿宋_GB2312" w:hAnsi="仿宋" w:hint="eastAsia"/>
          <w:sz w:val="32"/>
          <w:szCs w:val="32"/>
        </w:rPr>
        <w:t>导致</w:t>
      </w:r>
      <w:r>
        <w:rPr>
          <w:rFonts w:ascii="仿宋_GB2312" w:eastAsia="仿宋_GB2312" w:hAnsi="仿宋" w:hint="eastAsia"/>
          <w:sz w:val="32"/>
          <w:szCs w:val="32"/>
          <w:lang w:val="en-US" w:eastAsia="zh-CN"/>
        </w:rPr>
        <w:t>缴</w:t>
      </w:r>
      <w:r>
        <w:rPr>
          <w:rFonts w:ascii="仿宋_GB2312" w:eastAsia="仿宋_GB2312" w:hAnsi="仿宋" w:hint="eastAsia"/>
          <w:sz w:val="32"/>
          <w:szCs w:val="32"/>
        </w:rPr>
        <w:t>费基数</w:t>
      </w:r>
      <w:r>
        <w:rPr>
          <w:rFonts w:ascii="仿宋_GB2312" w:eastAsia="仿宋_GB2312" w:hAnsi="仿宋" w:hint="eastAsia"/>
          <w:sz w:val="32"/>
          <w:szCs w:val="32"/>
          <w:lang w:val="en-US" w:eastAsia="zh-CN"/>
        </w:rPr>
        <w:t>变小</w:t>
      </w:r>
      <w:r>
        <w:rPr>
          <w:rFonts w:ascii="仿宋_GB2312" w:eastAsia="仿宋_GB2312" w:hAnsi="仿宋" w:hint="eastAsia"/>
          <w:sz w:val="32"/>
          <w:szCs w:val="32"/>
        </w:rPr>
        <w:t>，缴费</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w:t>
      </w:r>
    </w:p>
    <w:p w14:paraId="5E38C527">
      <w:pPr>
        <w:pStyle w:val="NormalWeb"/>
        <w:adjustRightInd w:val="0"/>
        <w:snapToGrid w:val="0"/>
        <w:spacing w:before="0" w:beforeAutospacing="0" w:after="0" w:afterAutospacing="0" w:line="600" w:lineRule="exact"/>
        <w:ind w:firstLine="627" w:firstLineChars="196"/>
        <w:rPr>
          <w:rFonts w:ascii="仿宋_GB2312" w:eastAsia="仿宋_GB2312" w:hAnsi="仿宋" w:hint="eastAsia"/>
          <w:sz w:val="32"/>
          <w:szCs w:val="32"/>
        </w:rPr>
      </w:pPr>
      <w:r>
        <w:rPr>
          <w:rFonts w:ascii="仿宋" w:eastAsia="仿宋" w:hAnsi="仿宋" w:hint="eastAsia"/>
          <w:b/>
          <w:sz w:val="32"/>
          <w:szCs w:val="32"/>
          <w:lang w:val="en-US" w:eastAsia="zh-CN"/>
        </w:rPr>
        <w:t>4</w:t>
      </w:r>
      <w:r>
        <w:rPr>
          <w:rFonts w:ascii="仿宋" w:eastAsia="仿宋" w:hAnsi="仿宋" w:hint="eastAsia"/>
          <w:b/>
          <w:sz w:val="32"/>
          <w:szCs w:val="32"/>
        </w:rPr>
        <w:t>.社会保障和就业支出（类） 其他社会保障和就业支出（款）其他社会保障和就业支出（项）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0.41</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减少0.04</w:t>
      </w:r>
      <w:r>
        <w:rPr>
          <w:rFonts w:ascii="仿宋_GB2312" w:eastAsia="仿宋_GB2312" w:hAnsi="仿宋" w:hint="eastAsia"/>
          <w:sz w:val="32"/>
          <w:szCs w:val="32"/>
        </w:rPr>
        <w:t>万元，</w:t>
      </w:r>
      <w:r>
        <w:rPr>
          <w:rFonts w:ascii="仿宋_GB2312" w:eastAsia="仿宋_GB2312" w:hAnsi="仿宋" w:hint="eastAsia"/>
          <w:sz w:val="32"/>
          <w:szCs w:val="32"/>
          <w:lang w:val="en-US" w:eastAsia="zh-CN"/>
        </w:rPr>
        <w:t>下降9</w:t>
      </w:r>
      <w:r>
        <w:rPr>
          <w:rFonts w:ascii="仿宋_GB2312" w:eastAsia="仿宋_GB2312" w:hAnsi="仿宋" w:hint="eastAsia"/>
          <w:sz w:val="32"/>
          <w:szCs w:val="32"/>
        </w:rPr>
        <w:t>%，</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纪检组人员预算在纪检委编制，</w:t>
      </w:r>
      <w:r>
        <w:rPr>
          <w:rFonts w:ascii="仿宋_GB2312" w:eastAsia="仿宋_GB2312" w:hAnsi="仿宋" w:hint="eastAsia"/>
          <w:sz w:val="32"/>
          <w:szCs w:val="32"/>
        </w:rPr>
        <w:t>导致</w:t>
      </w:r>
      <w:r>
        <w:rPr>
          <w:rFonts w:ascii="仿宋_GB2312" w:eastAsia="仿宋_GB2312" w:hAnsi="仿宋" w:hint="eastAsia"/>
          <w:sz w:val="32"/>
          <w:szCs w:val="32"/>
          <w:lang w:val="en-US" w:eastAsia="zh-CN"/>
        </w:rPr>
        <w:t>缴</w:t>
      </w:r>
      <w:r>
        <w:rPr>
          <w:rFonts w:ascii="仿宋_GB2312" w:eastAsia="仿宋_GB2312" w:hAnsi="仿宋" w:hint="eastAsia"/>
          <w:sz w:val="32"/>
          <w:szCs w:val="32"/>
        </w:rPr>
        <w:t>费基数</w:t>
      </w:r>
      <w:r>
        <w:rPr>
          <w:rFonts w:ascii="仿宋_GB2312" w:eastAsia="仿宋_GB2312" w:hAnsi="仿宋" w:hint="eastAsia"/>
          <w:sz w:val="32"/>
          <w:szCs w:val="32"/>
          <w:lang w:val="en-US" w:eastAsia="zh-CN"/>
        </w:rPr>
        <w:t>变小</w:t>
      </w:r>
      <w:r>
        <w:rPr>
          <w:rFonts w:ascii="仿宋_GB2312" w:eastAsia="仿宋_GB2312" w:hAnsi="仿宋" w:hint="eastAsia"/>
          <w:sz w:val="32"/>
          <w:szCs w:val="32"/>
        </w:rPr>
        <w:t>，缴费</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w:t>
      </w:r>
    </w:p>
    <w:p w14:paraId="4E1E2DD1">
      <w:pPr>
        <w:pStyle w:val="NormalWeb"/>
        <w:adjustRightInd w:val="0"/>
        <w:snapToGrid w:val="0"/>
        <w:spacing w:before="0" w:beforeAutospacing="0" w:after="0" w:afterAutospacing="0" w:line="600" w:lineRule="exact"/>
        <w:ind w:firstLine="627" w:firstLineChars="196"/>
        <w:rPr>
          <w:rFonts w:ascii="仿宋_GB2312" w:eastAsia="仿宋_GB2312" w:hAnsi="仿宋"/>
          <w:sz w:val="32"/>
          <w:szCs w:val="32"/>
        </w:rPr>
      </w:pPr>
      <w:r>
        <w:rPr>
          <w:rFonts w:ascii="仿宋" w:eastAsia="仿宋" w:hAnsi="仿宋" w:hint="eastAsia"/>
          <w:b/>
          <w:sz w:val="32"/>
          <w:szCs w:val="32"/>
          <w:lang w:val="en-US" w:eastAsia="zh-CN"/>
        </w:rPr>
        <w:t>5</w:t>
      </w:r>
      <w:r>
        <w:rPr>
          <w:rFonts w:ascii="仿宋" w:eastAsia="仿宋" w:hAnsi="仿宋" w:hint="eastAsia"/>
          <w:b/>
          <w:sz w:val="32"/>
          <w:szCs w:val="32"/>
        </w:rPr>
        <w:t>.卫生健康支出（类）行政</w:t>
      </w:r>
      <w:r>
        <w:rPr>
          <w:rFonts w:ascii="仿宋" w:eastAsia="仿宋" w:hAnsi="仿宋" w:hint="eastAsia"/>
          <w:b/>
          <w:sz w:val="32"/>
          <w:szCs w:val="32"/>
          <w:lang w:val="en-US" w:eastAsia="zh-CN"/>
        </w:rPr>
        <w:t>事业</w:t>
      </w:r>
      <w:r>
        <w:rPr>
          <w:rFonts w:ascii="仿宋" w:eastAsia="仿宋" w:hAnsi="仿宋" w:hint="eastAsia"/>
          <w:b/>
          <w:sz w:val="32"/>
          <w:szCs w:val="32"/>
        </w:rPr>
        <w:t>单位医疗（款）行政单位医疗（项）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14.29</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减少1.15</w:t>
      </w:r>
      <w:r>
        <w:rPr>
          <w:rFonts w:ascii="仿宋_GB2312" w:eastAsia="仿宋_GB2312" w:hAnsi="仿宋" w:hint="eastAsia"/>
          <w:sz w:val="32"/>
          <w:szCs w:val="32"/>
        </w:rPr>
        <w:t>万元，</w:t>
      </w:r>
      <w:r>
        <w:rPr>
          <w:rFonts w:ascii="仿宋_GB2312" w:eastAsia="仿宋_GB2312" w:hAnsi="仿宋" w:hint="eastAsia"/>
          <w:sz w:val="32"/>
          <w:szCs w:val="32"/>
          <w:lang w:val="en-US" w:eastAsia="zh-CN"/>
        </w:rPr>
        <w:t>下降7.4</w:t>
      </w:r>
      <w:r>
        <w:rPr>
          <w:rFonts w:ascii="仿宋_GB2312" w:eastAsia="仿宋_GB2312" w:hAnsi="仿宋" w:hint="eastAsia"/>
          <w:sz w:val="32"/>
          <w:szCs w:val="32"/>
        </w:rPr>
        <w:t>%，</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纪检组人员预算在纪检委编制，</w:t>
      </w:r>
      <w:r>
        <w:rPr>
          <w:rFonts w:ascii="仿宋_GB2312" w:eastAsia="仿宋_GB2312" w:hAnsi="仿宋" w:hint="eastAsia"/>
          <w:sz w:val="32"/>
          <w:szCs w:val="32"/>
        </w:rPr>
        <w:t>导致</w:t>
      </w:r>
      <w:r>
        <w:rPr>
          <w:rFonts w:ascii="仿宋_GB2312" w:eastAsia="仿宋_GB2312" w:hAnsi="仿宋" w:hint="eastAsia"/>
          <w:sz w:val="32"/>
          <w:szCs w:val="32"/>
          <w:lang w:val="en-US" w:eastAsia="zh-CN"/>
        </w:rPr>
        <w:t>缴</w:t>
      </w:r>
      <w:r>
        <w:rPr>
          <w:rFonts w:ascii="仿宋_GB2312" w:eastAsia="仿宋_GB2312" w:hAnsi="仿宋" w:hint="eastAsia"/>
          <w:sz w:val="32"/>
          <w:szCs w:val="32"/>
        </w:rPr>
        <w:t>费基数</w:t>
      </w:r>
      <w:r>
        <w:rPr>
          <w:rFonts w:ascii="仿宋_GB2312" w:eastAsia="仿宋_GB2312" w:hAnsi="仿宋" w:hint="eastAsia"/>
          <w:sz w:val="32"/>
          <w:szCs w:val="32"/>
          <w:lang w:val="en-US" w:eastAsia="zh-CN"/>
        </w:rPr>
        <w:t>变小</w:t>
      </w:r>
      <w:r>
        <w:rPr>
          <w:rFonts w:ascii="仿宋_GB2312" w:eastAsia="仿宋_GB2312" w:hAnsi="仿宋" w:hint="eastAsia"/>
          <w:sz w:val="32"/>
          <w:szCs w:val="32"/>
        </w:rPr>
        <w:t>，缴费</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w:t>
      </w:r>
    </w:p>
    <w:p w14:paraId="1C81C4D8">
      <w:pPr>
        <w:pStyle w:val="NormalWeb"/>
        <w:adjustRightInd w:val="0"/>
        <w:snapToGrid w:val="0"/>
        <w:spacing w:before="0" w:beforeAutospacing="0" w:after="0" w:afterAutospacing="0" w:line="600" w:lineRule="exact"/>
        <w:ind w:firstLine="627" w:firstLineChars="196"/>
        <w:rPr>
          <w:rFonts w:ascii="仿宋_GB2312" w:eastAsia="仿宋_GB2312" w:hAnsi="仿宋"/>
          <w:sz w:val="32"/>
          <w:szCs w:val="32"/>
        </w:rPr>
      </w:pPr>
      <w:r>
        <w:rPr>
          <w:rFonts w:ascii="仿宋" w:eastAsia="仿宋" w:hAnsi="仿宋" w:hint="eastAsia"/>
          <w:b/>
          <w:sz w:val="32"/>
          <w:szCs w:val="32"/>
          <w:lang w:val="en-US" w:eastAsia="zh-CN"/>
        </w:rPr>
        <w:t>6</w:t>
      </w:r>
      <w:r>
        <w:rPr>
          <w:rFonts w:ascii="仿宋" w:eastAsia="仿宋" w:hAnsi="仿宋" w:hint="eastAsia"/>
          <w:b/>
          <w:sz w:val="32"/>
          <w:szCs w:val="32"/>
        </w:rPr>
        <w:t>.卫生健康支出（类）行政单位医疗（款）公务员医疗补助（项）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8.51</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减少2.77</w:t>
      </w:r>
      <w:r>
        <w:rPr>
          <w:rFonts w:ascii="仿宋_GB2312" w:eastAsia="仿宋_GB2312" w:hAnsi="仿宋" w:hint="eastAsia"/>
          <w:sz w:val="32"/>
          <w:szCs w:val="32"/>
        </w:rPr>
        <w:t>万元，</w:t>
      </w:r>
      <w:r>
        <w:rPr>
          <w:rFonts w:ascii="仿宋_GB2312" w:eastAsia="仿宋_GB2312" w:hAnsi="仿宋" w:hint="eastAsia"/>
          <w:sz w:val="32"/>
          <w:szCs w:val="32"/>
          <w:lang w:val="en-US" w:eastAsia="zh-CN"/>
        </w:rPr>
        <w:t>减少24</w:t>
      </w:r>
      <w:r>
        <w:rPr>
          <w:rFonts w:ascii="仿宋_GB2312" w:eastAsia="仿宋_GB2312" w:hAnsi="仿宋" w:hint="eastAsia"/>
          <w:sz w:val="32"/>
          <w:szCs w:val="32"/>
        </w:rPr>
        <w:t>%，</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纪检组人员预算在纪检委编制，</w:t>
      </w:r>
      <w:r>
        <w:rPr>
          <w:rFonts w:ascii="仿宋_GB2312" w:eastAsia="仿宋_GB2312" w:hAnsi="仿宋" w:hint="eastAsia"/>
          <w:sz w:val="32"/>
          <w:szCs w:val="32"/>
        </w:rPr>
        <w:t>导致</w:t>
      </w:r>
      <w:r>
        <w:rPr>
          <w:rFonts w:ascii="仿宋_GB2312" w:eastAsia="仿宋_GB2312" w:hAnsi="仿宋" w:hint="eastAsia"/>
          <w:sz w:val="32"/>
          <w:szCs w:val="32"/>
          <w:lang w:val="en-US" w:eastAsia="zh-CN"/>
        </w:rPr>
        <w:t>缴</w:t>
      </w:r>
      <w:r>
        <w:rPr>
          <w:rFonts w:ascii="仿宋_GB2312" w:eastAsia="仿宋_GB2312" w:hAnsi="仿宋" w:hint="eastAsia"/>
          <w:sz w:val="32"/>
          <w:szCs w:val="32"/>
        </w:rPr>
        <w:t>费基数</w:t>
      </w:r>
      <w:r>
        <w:rPr>
          <w:rFonts w:ascii="仿宋_GB2312" w:eastAsia="仿宋_GB2312" w:hAnsi="仿宋" w:hint="eastAsia"/>
          <w:sz w:val="32"/>
          <w:szCs w:val="32"/>
          <w:lang w:val="en-US" w:eastAsia="zh-CN"/>
        </w:rPr>
        <w:t>变小</w:t>
      </w:r>
      <w:r>
        <w:rPr>
          <w:rFonts w:ascii="仿宋_GB2312" w:eastAsia="仿宋_GB2312" w:hAnsi="仿宋" w:hint="eastAsia"/>
          <w:sz w:val="32"/>
          <w:szCs w:val="32"/>
        </w:rPr>
        <w:t>，缴费</w:t>
      </w:r>
      <w:r>
        <w:rPr>
          <w:rFonts w:ascii="仿宋_GB2312" w:eastAsia="仿宋_GB2312" w:hAnsi="仿宋" w:hint="eastAsia"/>
          <w:sz w:val="32"/>
          <w:szCs w:val="32"/>
          <w:lang w:val="en-US" w:eastAsia="zh-CN"/>
        </w:rPr>
        <w:t>减少</w:t>
      </w:r>
      <w:r>
        <w:rPr>
          <w:rFonts w:ascii="仿宋_GB2312" w:eastAsia="仿宋_GB2312" w:hAnsi="仿宋" w:hint="eastAsia"/>
          <w:sz w:val="32"/>
          <w:szCs w:val="32"/>
        </w:rPr>
        <w:t>。</w:t>
      </w:r>
    </w:p>
    <w:p w14:paraId="05F90E57">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hint="eastAsia"/>
          <w:b/>
          <w:sz w:val="32"/>
          <w:szCs w:val="32"/>
          <w:lang w:val="en-US" w:eastAsia="zh-CN"/>
        </w:rPr>
        <w:t>7</w:t>
      </w:r>
      <w:r>
        <w:rPr>
          <w:rFonts w:ascii="仿宋_GB2312" w:eastAsia="仿宋_GB2312" w:hAnsi="仿宋" w:hint="eastAsia"/>
          <w:b/>
          <w:sz w:val="32"/>
          <w:szCs w:val="32"/>
        </w:rPr>
        <w:t>.住房保障支出（类）住房改革支出（款）住房公积金（项）</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42.33</w:t>
      </w:r>
      <w:r>
        <w:rPr>
          <w:rFonts w:ascii="仿宋_GB2312" w:eastAsia="仿宋_GB2312" w:hAnsi="仿宋" w:hint="eastAsia"/>
          <w:sz w:val="32"/>
          <w:szCs w:val="32"/>
        </w:rPr>
        <w:t>万元，比202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val="en-US" w:eastAsia="zh-CN"/>
        </w:rPr>
        <w:t>增加6.27</w:t>
      </w:r>
      <w:r>
        <w:rPr>
          <w:rFonts w:ascii="仿宋_GB2312" w:eastAsia="仿宋_GB2312" w:hAnsi="仿宋" w:hint="eastAsia"/>
          <w:sz w:val="32"/>
          <w:szCs w:val="32"/>
        </w:rPr>
        <w:t>万元，</w:t>
      </w:r>
      <w:r>
        <w:rPr>
          <w:rFonts w:ascii="仿宋_GB2312" w:eastAsia="仿宋_GB2312" w:hAnsi="仿宋" w:hint="eastAsia"/>
          <w:sz w:val="32"/>
          <w:szCs w:val="32"/>
          <w:lang w:val="en-US" w:eastAsia="zh-CN"/>
        </w:rPr>
        <w:t>增加17.39</w:t>
      </w:r>
      <w:r>
        <w:rPr>
          <w:rFonts w:ascii="仿宋_GB2312" w:eastAsia="仿宋_GB2312" w:hAnsi="仿宋" w:hint="eastAsia"/>
          <w:sz w:val="32"/>
          <w:szCs w:val="32"/>
        </w:rPr>
        <w:t>%，</w:t>
      </w:r>
      <w:r>
        <w:rPr>
          <w:rFonts w:ascii="仿宋_GB2312" w:eastAsia="仿宋_GB2312" w:hAnsi="仿宋" w:hint="eastAsia"/>
          <w:sz w:val="32"/>
          <w:szCs w:val="32"/>
          <w:lang w:val="en-US" w:eastAsia="zh-CN"/>
        </w:rPr>
        <w:t>增加</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住房公积金基数变动，缴费增加</w:t>
      </w:r>
      <w:r>
        <w:rPr>
          <w:rFonts w:ascii="仿宋_GB2312" w:eastAsia="仿宋_GB2312" w:hAnsi="仿宋" w:hint="eastAsia"/>
          <w:sz w:val="32"/>
          <w:szCs w:val="32"/>
        </w:rPr>
        <w:t>。</w:t>
      </w:r>
    </w:p>
    <w:p w14:paraId="2509DB10">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六、关于2025年一般公共预算基本支出表的说明</w:t>
      </w:r>
    </w:p>
    <w:p w14:paraId="697E4B09">
      <w:pPr>
        <w:topLinePunct/>
        <w:spacing w:line="58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2025年一般公共预算基本支出</w:t>
      </w:r>
      <w:r>
        <w:rPr>
          <w:rFonts w:ascii="仿宋_GB2312" w:eastAsia="仿宋_GB2312" w:hAnsi="TimesNewRoman" w:cs="TimesNewRoman" w:hint="eastAsia"/>
          <w:sz w:val="32"/>
          <w:szCs w:val="32"/>
          <w:lang w:val="en-US" w:eastAsia="zh-CN"/>
        </w:rPr>
        <w:t>509.09</w:t>
      </w:r>
      <w:r>
        <w:rPr>
          <w:rFonts w:ascii="仿宋_GB2312" w:eastAsia="仿宋_GB2312" w:hAnsi="TimesNewRoman" w:cs="TimesNewRoman" w:hint="eastAsia"/>
          <w:sz w:val="32"/>
          <w:szCs w:val="32"/>
        </w:rPr>
        <w:t>万元，其中，人员经费</w:t>
      </w:r>
      <w:r>
        <w:rPr>
          <w:rFonts w:ascii="仿宋_GB2312" w:eastAsia="仿宋_GB2312" w:hAnsi="TimesNewRoman" w:cs="TimesNewRoman" w:hint="eastAsia"/>
          <w:sz w:val="32"/>
          <w:szCs w:val="32"/>
          <w:lang w:val="en-US" w:eastAsia="zh-CN"/>
        </w:rPr>
        <w:t>440.42</w:t>
      </w:r>
      <w:r>
        <w:rPr>
          <w:rFonts w:ascii="仿宋_GB2312" w:eastAsia="仿宋_GB2312" w:hAnsi="TimesNewRoman" w:cs="TimesNewRoman" w:hint="eastAsia"/>
          <w:sz w:val="32"/>
          <w:szCs w:val="32"/>
        </w:rPr>
        <w:t>万元，公用经费</w:t>
      </w:r>
      <w:r>
        <w:rPr>
          <w:rFonts w:ascii="仿宋_GB2312" w:eastAsia="仿宋_GB2312" w:hAnsi="TimesNewRoman" w:cs="TimesNewRoman" w:hint="eastAsia"/>
          <w:sz w:val="32"/>
          <w:szCs w:val="32"/>
          <w:lang w:val="en-US" w:eastAsia="zh-CN"/>
        </w:rPr>
        <w:t>68.67</w:t>
      </w:r>
      <w:r>
        <w:rPr>
          <w:rFonts w:ascii="仿宋_GB2312" w:eastAsia="仿宋_GB2312" w:hAnsi="TimesNewRoman" w:cs="TimesNewRoman" w:hint="eastAsia"/>
          <w:sz w:val="32"/>
          <w:szCs w:val="32"/>
        </w:rPr>
        <w:t>万元。</w:t>
      </w:r>
    </w:p>
    <w:p w14:paraId="799CBF07">
      <w:pPr>
        <w:ind w:firstLine="640" w:firstLineChars="200"/>
        <w:rPr>
          <w:rFonts w:ascii="仿宋_GB2312" w:eastAsia="仿宋_GB2312" w:hAnsi="仿宋"/>
          <w:sz w:val="32"/>
          <w:szCs w:val="32"/>
        </w:rPr>
      </w:pPr>
      <w:r>
        <w:rPr>
          <w:rFonts w:ascii="仿宋_GB2312" w:eastAsia="仿宋_GB2312" w:hAnsi="TimesNewRoman" w:cs="TimesNewRoman" w:hint="eastAsia"/>
          <w:sz w:val="32"/>
          <w:szCs w:val="32"/>
        </w:rPr>
        <w:t>（一）人员经费</w:t>
      </w:r>
      <w:r>
        <w:rPr>
          <w:rFonts w:ascii="仿宋_GB2312" w:eastAsia="仿宋_GB2312" w:hAnsi="TimesNewRoman" w:cs="TimesNewRoman" w:hint="eastAsia"/>
          <w:sz w:val="32"/>
          <w:szCs w:val="32"/>
          <w:lang w:val="en-US" w:eastAsia="zh-CN"/>
        </w:rPr>
        <w:t>440.42</w:t>
      </w:r>
      <w:r>
        <w:rPr>
          <w:rFonts w:ascii="仿宋_GB2312" w:eastAsia="仿宋_GB2312" w:hAnsi="TimesNewRoman" w:cs="TimesNewRoman" w:hint="eastAsia"/>
          <w:sz w:val="32"/>
          <w:szCs w:val="32"/>
        </w:rPr>
        <w:t>万元，</w:t>
      </w:r>
      <w:r>
        <w:rPr>
          <w:rFonts w:ascii="仿宋_GB2312" w:eastAsia="仿宋_GB2312" w:hAnsi="仿宋" w:hint="eastAsia"/>
          <w:sz w:val="32"/>
          <w:szCs w:val="32"/>
        </w:rPr>
        <w:t>主要包括:基本工资、津贴补贴、奖金、伙食补助费、机关事业单位基本养老保险费、职业年金缴费、职工基本医疗保险缴费、公务员医疗补助缴费、其他社会保障缴费、住房公积金、医疗费、其他工资福利支出、离休费、退休费、生活补助、救济费、医疗费补助、奖励金、对其他个人和家庭的补助支出。</w:t>
      </w:r>
    </w:p>
    <w:p w14:paraId="09C5812A">
      <w:pPr>
        <w:ind w:firstLine="640" w:firstLineChars="200"/>
        <w:rPr>
          <w:rFonts w:ascii="仿宋_GB2312" w:eastAsia="仿宋_GB2312" w:hAnsi="TimesNewRoman" w:cs="TimesNewRoman" w:hint="eastAsia"/>
          <w:sz w:val="32"/>
          <w:szCs w:val="32"/>
          <w:u w:val="none"/>
        </w:rPr>
      </w:pPr>
      <w:r>
        <w:rPr>
          <w:rFonts w:ascii="仿宋_GB2312" w:eastAsia="仿宋_GB2312" w:hAnsi="TimesNewRoman" w:cs="TimesNewRoman" w:hint="eastAsia"/>
          <w:sz w:val="32"/>
          <w:szCs w:val="32"/>
        </w:rPr>
        <w:t>（二）公用经费</w:t>
      </w:r>
      <w:r>
        <w:rPr>
          <w:rFonts w:ascii="仿宋_GB2312" w:eastAsia="仿宋_GB2312" w:hAnsi="TimesNewRoman" w:cs="TimesNewRoman" w:hint="eastAsia"/>
          <w:sz w:val="32"/>
          <w:szCs w:val="32"/>
          <w:lang w:val="en-US" w:eastAsia="zh-CN"/>
        </w:rPr>
        <w:t>68.67</w:t>
      </w:r>
      <w:r>
        <w:rPr>
          <w:rFonts w:ascii="仿宋_GB2312" w:eastAsia="仿宋_GB2312" w:hAnsi="TimesNewRoman" w:cs="TimesNewRoman" w:hint="eastAsia"/>
          <w:sz w:val="32"/>
          <w:szCs w:val="32"/>
        </w:rPr>
        <w:t>万元，</w:t>
      </w:r>
      <w:r>
        <w:rPr>
          <w:rFonts w:ascii="仿宋_GB2312" w:eastAsia="仿宋_GB2312" w:hAnsi="仿宋" w:hint="eastAsia"/>
          <w:sz w:val="32"/>
          <w:szCs w:val="32"/>
        </w:rPr>
        <w:t>主要包括：办公费、印刷费、水费、电费、邮电费、物业管理费、差旅费、因公出国（境）费、维修（护）费、租赁费、会议费、培训费、公务接待费、劳务费、委托业务费、工会经费、福利费、其他交通费用、税金及附加费用、其他商品服务支出、办公设备购置、专用设备购置、信息网络及软件购置更新、其他资本性支出、其他支出等。</w:t>
      </w:r>
    </w:p>
    <w:p w14:paraId="21BE8E6C">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七、关于2025年政府性基金预算支出表的说明</w:t>
      </w:r>
    </w:p>
    <w:p w14:paraId="3DBC3F5F">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2025年没有政府性基金预算拨款收入，也没有使用政府性基金预算拨款安排的支出。</w:t>
      </w:r>
    </w:p>
    <w:p w14:paraId="25E33F32">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八、关于2025年国有资本经营预算支出表的说明</w:t>
      </w:r>
    </w:p>
    <w:p w14:paraId="6219883A">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rPr>
        <w:t>2025年没有国有资本经营预算拨款收入，也没有使用国有资本经营预算拨款安排的支出。</w:t>
      </w:r>
    </w:p>
    <w:p w14:paraId="1EFFB254">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九、关于2025年项目支出表的说明</w:t>
      </w:r>
    </w:p>
    <w:p w14:paraId="75E8F0F4">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lang w:val="en-US" w:eastAsia="zh-CN"/>
        </w:rPr>
        <w:t>2</w:t>
      </w:r>
      <w:r>
        <w:rPr>
          <w:rFonts w:ascii="仿宋_GB2312" w:eastAsia="仿宋_GB2312" w:hAnsi="TimesNewRoman" w:cs="TimesNewRoman" w:hint="eastAsia"/>
          <w:sz w:val="32"/>
          <w:szCs w:val="32"/>
        </w:rPr>
        <w:t>025年预算共安排项目支出</w:t>
      </w:r>
      <w:r>
        <w:rPr>
          <w:rFonts w:ascii="仿宋_GB2312" w:eastAsia="仿宋_GB2312" w:hAnsi="TimesNewRoman" w:cs="TimesNewRoman" w:hint="eastAsia"/>
          <w:sz w:val="32"/>
          <w:szCs w:val="32"/>
          <w:lang w:val="en-US" w:eastAsia="zh-CN"/>
        </w:rPr>
        <w:t>99.11</w:t>
      </w:r>
      <w:r>
        <w:rPr>
          <w:rFonts w:ascii="仿宋_GB2312" w:eastAsia="仿宋_GB2312" w:hAnsi="TimesNewRoman" w:cs="TimesNewRoman" w:hint="eastAsia"/>
          <w:sz w:val="32"/>
          <w:szCs w:val="32"/>
        </w:rPr>
        <w:t>万元，比2024年预算减少</w:t>
      </w:r>
      <w:r>
        <w:rPr>
          <w:rFonts w:ascii="仿宋_GB2312" w:eastAsia="仿宋_GB2312" w:hAnsi="TimesNewRoman" w:cs="TimesNewRoman" w:hint="eastAsia"/>
          <w:sz w:val="32"/>
          <w:szCs w:val="32"/>
          <w:lang w:val="en-US" w:eastAsia="zh-CN"/>
        </w:rPr>
        <w:t>2.73</w:t>
      </w:r>
      <w:r>
        <w:rPr>
          <w:rFonts w:ascii="仿宋_GB2312" w:eastAsia="仿宋_GB2312" w:hAnsi="TimesNewRoman" w:cs="TimesNewRoman" w:hint="eastAsia"/>
          <w:sz w:val="32"/>
          <w:szCs w:val="32"/>
        </w:rPr>
        <w:t>万元，下降</w:t>
      </w:r>
      <w:r>
        <w:rPr>
          <w:rFonts w:ascii="仿宋_GB2312" w:eastAsia="仿宋_GB2312" w:hAnsi="TimesNewRoman" w:cs="TimesNewRoman" w:hint="eastAsia"/>
          <w:sz w:val="32"/>
          <w:szCs w:val="32"/>
          <w:lang w:val="en-US" w:eastAsia="zh-CN"/>
        </w:rPr>
        <w:t>2.6</w:t>
      </w:r>
      <w:r>
        <w:rPr>
          <w:rFonts w:ascii="仿宋_GB2312" w:eastAsia="仿宋_GB2312" w:hAnsi="TimesNewRoman" w:cs="TimesNewRoman" w:hint="eastAsia"/>
          <w:sz w:val="32"/>
          <w:szCs w:val="32"/>
        </w:rPr>
        <w:t>%，下降原因主要是</w:t>
      </w:r>
      <w:r>
        <w:rPr>
          <w:rFonts w:ascii="仿宋_GB2312" w:eastAsia="仿宋_GB2312" w:hAnsi="TimesNewRoman" w:cs="TimesNewRoman" w:hint="eastAsia"/>
          <w:sz w:val="32"/>
          <w:szCs w:val="32"/>
          <w:lang w:val="en-US" w:eastAsia="zh-CN"/>
        </w:rPr>
        <w:t>贯彻厉行节约过紧日子要求，进一步压缩项目支出</w:t>
      </w:r>
      <w:r>
        <w:rPr>
          <w:rFonts w:ascii="仿宋_GB2312" w:eastAsia="仿宋_GB2312" w:hAnsi="TimesNewRoman" w:cs="TimesNewRoman" w:hint="eastAsia"/>
          <w:sz w:val="32"/>
          <w:szCs w:val="32"/>
        </w:rPr>
        <w:t>。主要包括：本年财政拨款安排</w:t>
      </w:r>
      <w:r>
        <w:rPr>
          <w:rFonts w:ascii="仿宋_GB2312" w:eastAsia="仿宋_GB2312" w:hAnsi="TimesNewRoman" w:cs="TimesNewRoman" w:hint="eastAsia"/>
          <w:sz w:val="32"/>
          <w:szCs w:val="32"/>
          <w:lang w:val="en-US" w:eastAsia="zh-CN"/>
        </w:rPr>
        <w:t>99.11</w:t>
      </w:r>
      <w:r>
        <w:rPr>
          <w:rFonts w:ascii="仿宋_GB2312" w:eastAsia="仿宋_GB2312" w:hAnsi="TimesNewRoman" w:cs="TimesNewRoman" w:hint="eastAsia"/>
          <w:sz w:val="32"/>
          <w:szCs w:val="32"/>
        </w:rPr>
        <w:t>万元（其中，一般公共预算拨款安排</w:t>
      </w:r>
      <w:r>
        <w:rPr>
          <w:rFonts w:ascii="仿宋_GB2312" w:eastAsia="仿宋_GB2312" w:hAnsi="TimesNewRoman" w:cs="TimesNewRoman" w:hint="eastAsia"/>
          <w:sz w:val="32"/>
          <w:szCs w:val="32"/>
          <w:lang w:val="en-US" w:eastAsia="zh-CN"/>
        </w:rPr>
        <w:t>99.11</w:t>
      </w:r>
      <w:r>
        <w:rPr>
          <w:rFonts w:ascii="仿宋_GB2312" w:eastAsia="仿宋_GB2312" w:hAnsi="TimesNewRoman" w:cs="TimesNewRoman" w:hint="eastAsia"/>
          <w:sz w:val="32"/>
          <w:szCs w:val="32"/>
        </w:rPr>
        <w:t xml:space="preserve">万元），财政拨款上年结转安排 </w:t>
      </w:r>
      <w:r>
        <w:rPr>
          <w:rFonts w:ascii="仿宋_GB2312" w:eastAsia="仿宋_GB2312" w:hAnsi="TimesNewRoman" w:cs="TimesNewRoman" w:hint="eastAsia"/>
          <w:sz w:val="32"/>
          <w:szCs w:val="32"/>
          <w:lang w:val="en-US" w:eastAsia="zh-CN"/>
        </w:rPr>
        <w:t>00</w:t>
      </w:r>
      <w:r>
        <w:rPr>
          <w:rFonts w:ascii="仿宋_GB2312" w:eastAsia="仿宋_GB2312" w:hAnsi="TimesNewRoman" w:cs="TimesNewRoman" w:hint="eastAsia"/>
          <w:sz w:val="32"/>
          <w:szCs w:val="32"/>
        </w:rPr>
        <w:t>万元、财政专户管理资金安排</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万元和单位资金安排</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p>
    <w:p w14:paraId="621F09F4">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十、关于2025年政府采购支出表的说明</w:t>
      </w:r>
    </w:p>
    <w:p w14:paraId="732468A7">
      <w:pPr>
        <w:pStyle w:val="NormalWeb"/>
        <w:adjustRightInd w:val="0"/>
        <w:snapToGrid w:val="0"/>
        <w:spacing w:before="0" w:beforeAutospacing="0" w:after="0" w:afterAutospacing="0" w:line="600" w:lineRule="exact"/>
        <w:ind w:firstLine="640" w:firstLineChars="200"/>
        <w:outlineLvl w:val="0"/>
        <w:rPr>
          <w:rFonts w:ascii="仿宋_GB2312" w:eastAsia="仿宋_GB2312" w:hAnsi="TimesNewRoman" w:cs="TimesNewRoman" w:hint="eastAsia"/>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sz w:val="32"/>
          <w:szCs w:val="32"/>
          <w:lang w:val="en-US" w:eastAsia="zh-CN"/>
        </w:rPr>
        <w:t>2</w:t>
      </w:r>
      <w:r>
        <w:rPr>
          <w:rFonts w:ascii="仿宋_GB2312" w:eastAsia="仿宋_GB2312" w:hAnsi="TimesNewRoman" w:cs="TimesNewRoman" w:hint="eastAsia"/>
          <w:sz w:val="32"/>
          <w:szCs w:val="32"/>
        </w:rPr>
        <w:t>025年使用一般公共预算拨款</w:t>
      </w:r>
      <w:r>
        <w:rPr>
          <w:rFonts w:ascii="仿宋_GB2312" w:eastAsia="仿宋_GB2312" w:hAnsi="TimesNewRoman" w:cs="TimesNewRoman" w:hint="eastAsia"/>
          <w:sz w:val="32"/>
          <w:szCs w:val="32"/>
          <w:lang w:eastAsia="zh-CN"/>
        </w:rPr>
        <w:t>安排政府采购</w:t>
      </w:r>
      <w:r>
        <w:rPr>
          <w:rFonts w:ascii="仿宋_GB2312" w:eastAsia="仿宋_GB2312" w:hAnsi="TimesNewRoman" w:cs="TimesNewRoman" w:hint="eastAsia"/>
          <w:sz w:val="32"/>
          <w:szCs w:val="32"/>
          <w:lang w:val="en-US" w:eastAsia="zh-CN"/>
        </w:rPr>
        <w:t>1.92万元，主要包括采购A4 黑白打印机2台，共0.42万元，复印机1台，1.5万元，</w:t>
      </w:r>
      <w:r>
        <w:rPr>
          <w:rFonts w:ascii="仿宋_GB2312" w:eastAsia="仿宋_GB2312" w:hAnsi="TimesNewRoman" w:cs="TimesNewRoman" w:hint="eastAsia"/>
          <w:sz w:val="32"/>
          <w:szCs w:val="32"/>
          <w:lang w:eastAsia="zh-CN"/>
        </w:rPr>
        <w:t>无</w:t>
      </w:r>
      <w:r>
        <w:rPr>
          <w:rFonts w:ascii="仿宋_GB2312" w:eastAsia="仿宋_GB2312" w:hAnsi="TimesNewRoman" w:cs="TimesNewRoman" w:hint="eastAsia"/>
          <w:sz w:val="32"/>
          <w:szCs w:val="32"/>
        </w:rPr>
        <w:t>政府性基金预算拨款、国有资本经营预算拨款、财政专户管理资金和单位资金安排的政府采购支出。</w:t>
      </w:r>
      <w:r>
        <w:rPr>
          <w:rFonts w:ascii="仿宋_GB2312" w:eastAsia="仿宋_GB2312" w:hAnsi="仿宋" w:hint="eastAsia"/>
          <w:sz w:val="32"/>
          <w:szCs w:val="32"/>
        </w:rPr>
        <w:t>比202</w:t>
      </w:r>
      <w:r>
        <w:rPr>
          <w:rFonts w:ascii="仿宋_GB2312" w:eastAsia="仿宋_GB2312" w:hAnsi="仿宋" w:hint="eastAsia"/>
          <w:sz w:val="32"/>
          <w:szCs w:val="32"/>
          <w:lang w:val="en-US" w:eastAsia="zh-CN"/>
        </w:rPr>
        <w:t>4</w:t>
      </w:r>
      <w:r>
        <w:rPr>
          <w:rFonts w:ascii="仿宋_GB2312" w:eastAsia="仿宋_GB2312" w:hAnsi="仿宋" w:hint="eastAsia"/>
          <w:sz w:val="32"/>
          <w:szCs w:val="32"/>
        </w:rPr>
        <w:t>年预算</w:t>
      </w:r>
      <w:r>
        <w:rPr>
          <w:rFonts w:ascii="仿宋_GB2312" w:eastAsia="仿宋_GB2312" w:hAnsi="仿宋" w:hint="eastAsia"/>
          <w:sz w:val="32"/>
          <w:szCs w:val="32"/>
          <w:lang w:eastAsia="zh-CN"/>
        </w:rPr>
        <w:t>增加</w:t>
      </w:r>
      <w:r>
        <w:rPr>
          <w:rFonts w:ascii="仿宋_GB2312" w:eastAsia="仿宋_GB2312" w:hAnsi="仿宋" w:hint="eastAsia"/>
          <w:sz w:val="32"/>
          <w:szCs w:val="32"/>
          <w:lang w:val="en-US" w:eastAsia="zh-CN"/>
        </w:rPr>
        <w:t>1.92</w:t>
      </w:r>
      <w:r>
        <w:rPr>
          <w:rFonts w:ascii="仿宋_GB2312" w:eastAsia="仿宋_GB2312" w:hAnsi="仿宋" w:hint="eastAsia"/>
          <w:sz w:val="32"/>
          <w:szCs w:val="32"/>
        </w:rPr>
        <w:t>万元，</w:t>
      </w:r>
      <w:r>
        <w:rPr>
          <w:rFonts w:ascii="仿宋_GB2312" w:eastAsia="仿宋_GB2312" w:hAnsi="仿宋" w:hint="eastAsia"/>
          <w:sz w:val="32"/>
          <w:szCs w:val="32"/>
          <w:lang w:eastAsia="zh-CN"/>
        </w:rPr>
        <w:t>上升</w:t>
      </w:r>
      <w:r>
        <w:rPr>
          <w:rFonts w:ascii="仿宋_GB2312" w:eastAsia="仿宋_GB2312" w:hAnsi="仿宋" w:hint="eastAsia"/>
          <w:sz w:val="32"/>
          <w:szCs w:val="32"/>
        </w:rPr>
        <w:t>原因主要是</w:t>
      </w:r>
      <w:r>
        <w:rPr>
          <w:rFonts w:ascii="仿宋_GB2312" w:eastAsia="仿宋_GB2312" w:hAnsi="仿宋" w:hint="eastAsia"/>
          <w:sz w:val="32"/>
          <w:szCs w:val="32"/>
          <w:lang w:eastAsia="zh-CN"/>
        </w:rPr>
        <w:t>按照办公室实际需求，有序采购，</w:t>
      </w:r>
      <w:r>
        <w:rPr>
          <w:rFonts w:ascii="仿宋_GB2312" w:eastAsia="仿宋_GB2312" w:hAnsi="仿宋" w:hint="eastAsia"/>
          <w:sz w:val="32"/>
          <w:szCs w:val="32"/>
          <w:lang w:val="en-US" w:eastAsia="zh-CN"/>
        </w:rPr>
        <w:t>2024年无采购计划，2025年需要采购更新打印机、复印机。</w:t>
      </w:r>
    </w:p>
    <w:p w14:paraId="614B7289">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十一、关于2025年政府购买服务支出表的说明</w:t>
      </w:r>
    </w:p>
    <w:p w14:paraId="21C78B75">
      <w:pPr>
        <w:pStyle w:val="NormalWeb"/>
        <w:adjustRightInd w:val="0"/>
        <w:snapToGrid w:val="0"/>
        <w:spacing w:before="0" w:beforeAutospacing="0" w:after="0" w:afterAutospacing="0" w:line="600" w:lineRule="exact"/>
        <w:ind w:firstLine="640" w:firstLineChars="200"/>
        <w:outlineLvl w:val="0"/>
        <w:rPr>
          <w:rFonts w:ascii="仿宋_GB2312" w:eastAsia="仿宋_GB2312" w:hAnsi="仿宋"/>
          <w:sz w:val="32"/>
          <w:szCs w:val="32"/>
        </w:rPr>
      </w:pPr>
      <w:r>
        <w:rPr>
          <w:rFonts w:ascii="仿宋" w:eastAsia="仿宋" w:hAnsi="仿宋" w:cs="Times New Roman" w:hint="eastAsia"/>
          <w:kern w:val="2"/>
          <w:sz w:val="32"/>
          <w:szCs w:val="32"/>
        </w:rPr>
        <w:t>中共寿县县委办公室</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w:t>
      </w:r>
      <w:r>
        <w:rPr>
          <w:rFonts w:ascii="仿宋_GB2312" w:eastAsia="仿宋_GB2312" w:hAnsi="TimesNewRoman" w:cs="TimesNewRoman" w:hint="eastAsia"/>
          <w:sz w:val="32"/>
          <w:szCs w:val="32"/>
        </w:rPr>
        <w:t>使用一般公共预算拨款</w:t>
      </w:r>
      <w:r>
        <w:rPr>
          <w:rFonts w:ascii="仿宋_GB2312" w:eastAsia="仿宋_GB2312" w:hAnsi="TimesNewRoman" w:cs="TimesNewRoman" w:hint="eastAsia"/>
          <w:sz w:val="32"/>
          <w:szCs w:val="32"/>
          <w:lang w:eastAsia="zh-CN"/>
        </w:rPr>
        <w:t>安排</w:t>
      </w:r>
      <w:r>
        <w:rPr>
          <w:rFonts w:ascii="仿宋_GB2312" w:eastAsia="仿宋_GB2312" w:hAnsi="仿宋" w:hint="eastAsia"/>
          <w:sz w:val="32"/>
          <w:szCs w:val="32"/>
        </w:rPr>
        <w:t>安排政府购买服务支出</w:t>
      </w:r>
      <w:r>
        <w:rPr>
          <w:rFonts w:ascii="仿宋_GB2312" w:eastAsia="仿宋_GB2312" w:hAnsi="仿宋" w:hint="eastAsia"/>
          <w:sz w:val="32"/>
          <w:szCs w:val="32"/>
          <w:lang w:val="en-US" w:eastAsia="zh-CN"/>
        </w:rPr>
        <w:t>30</w:t>
      </w:r>
      <w:r>
        <w:rPr>
          <w:rFonts w:ascii="仿宋_GB2312" w:eastAsia="仿宋_GB2312" w:hAnsi="仿宋" w:hint="eastAsia"/>
          <w:sz w:val="32"/>
          <w:szCs w:val="32"/>
        </w:rPr>
        <w:t>万元，</w:t>
      </w:r>
      <w:r>
        <w:rPr>
          <w:rFonts w:ascii="仿宋_GB2312" w:eastAsia="仿宋_GB2312" w:hAnsi="仿宋" w:hint="eastAsia"/>
          <w:sz w:val="32"/>
          <w:szCs w:val="32"/>
          <w:lang w:eastAsia="zh-CN"/>
        </w:rPr>
        <w:t>比</w:t>
      </w:r>
      <w:r>
        <w:rPr>
          <w:rFonts w:ascii="仿宋_GB2312" w:eastAsia="仿宋_GB2312" w:hAnsi="仿宋" w:hint="eastAsia"/>
          <w:sz w:val="32"/>
          <w:szCs w:val="32"/>
        </w:rPr>
        <w:t>20</w:t>
      </w:r>
      <w:r>
        <w:rPr>
          <w:rFonts w:ascii="仿宋_GB2312" w:eastAsia="仿宋_GB2312" w:hAnsi="仿宋" w:hint="eastAsia"/>
          <w:sz w:val="32"/>
          <w:szCs w:val="32"/>
          <w:lang w:val="en-US" w:eastAsia="zh-CN"/>
        </w:rPr>
        <w:t>24年</w:t>
      </w:r>
      <w:r>
        <w:rPr>
          <w:rFonts w:ascii="仿宋_GB2312" w:eastAsia="仿宋_GB2312" w:hAnsi="仿宋" w:hint="eastAsia"/>
          <w:sz w:val="32"/>
          <w:szCs w:val="32"/>
        </w:rPr>
        <w:t>年预算</w:t>
      </w:r>
      <w:r>
        <w:rPr>
          <w:rFonts w:ascii="仿宋_GB2312" w:eastAsia="仿宋_GB2312" w:hAnsi="仿宋" w:hint="eastAsia"/>
          <w:sz w:val="32"/>
          <w:szCs w:val="32"/>
          <w:lang w:eastAsia="zh-CN"/>
        </w:rPr>
        <w:t>增加</w:t>
      </w:r>
      <w:r>
        <w:rPr>
          <w:rFonts w:ascii="仿宋_GB2312" w:eastAsia="仿宋_GB2312" w:hAnsi="仿宋" w:hint="eastAsia"/>
          <w:sz w:val="32"/>
          <w:szCs w:val="32"/>
          <w:lang w:val="en-US" w:eastAsia="zh-CN"/>
        </w:rPr>
        <w:t>2万元，上升7%，增加原因为</w:t>
      </w:r>
      <w:r>
        <w:rPr>
          <w:rFonts w:ascii="仿宋_GB2312" w:eastAsia="仿宋_GB2312" w:hAnsi="仿宋" w:hint="eastAsia"/>
          <w:sz w:val="32"/>
          <w:szCs w:val="32"/>
        </w:rPr>
        <w:t>根据当年实际服务需要</w:t>
      </w:r>
      <w:r>
        <w:rPr>
          <w:rFonts w:ascii="仿宋_GB2312" w:eastAsia="仿宋_GB2312" w:hAnsi="仿宋" w:hint="eastAsia"/>
          <w:sz w:val="32"/>
          <w:szCs w:val="32"/>
          <w:lang w:eastAsia="zh-CN"/>
        </w:rPr>
        <w:t>价格</w:t>
      </w:r>
      <w:r>
        <w:rPr>
          <w:rFonts w:ascii="仿宋_GB2312" w:eastAsia="仿宋_GB2312" w:hAnsi="仿宋" w:hint="eastAsia"/>
          <w:sz w:val="32"/>
          <w:szCs w:val="32"/>
        </w:rPr>
        <w:t>而定。</w:t>
      </w:r>
    </w:p>
    <w:p w14:paraId="3FA955CF">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十二、</w:t>
      </w:r>
      <w:r>
        <w:rPr>
          <w:rFonts w:ascii="楷体_GB2312" w:eastAsia="楷体_GB2312" w:hAnsi="TimesNewRoman" w:cs="TimesNewRoman" w:hint="eastAsia"/>
          <w:b/>
          <w:sz w:val="32"/>
          <w:szCs w:val="32"/>
          <w:lang w:eastAsia="zh-CN"/>
        </w:rPr>
        <w:t>关于</w:t>
      </w:r>
      <w:r>
        <w:rPr>
          <w:rFonts w:ascii="楷体_GB2312" w:eastAsia="楷体_GB2312" w:hAnsi="TimesNewRoman" w:cs="TimesNewRoman" w:hint="eastAsia"/>
          <w:b/>
          <w:sz w:val="32"/>
          <w:szCs w:val="32"/>
        </w:rPr>
        <w:t>2025</w:t>
      </w:r>
      <w:r>
        <w:rPr>
          <w:rFonts w:ascii="楷体_GB2312" w:eastAsia="楷体_GB2312" w:hAnsi="TimesNewRoman" w:cs="TimesNewRoman"/>
          <w:b/>
          <w:sz w:val="32"/>
          <w:szCs w:val="32"/>
        </w:rPr>
        <w:t>年一般公共预算“三公”经费支出情况说明</w:t>
      </w:r>
    </w:p>
    <w:p w14:paraId="1CA38D3B">
      <w:pPr>
        <w:adjustRightInd w:val="0"/>
        <w:snapToGrid w:val="0"/>
        <w:spacing w:line="560" w:lineRule="exact"/>
        <w:ind w:firstLine="640" w:firstLineChars="200"/>
        <w:rPr>
          <w:rFonts w:ascii="仿宋_GB2312" w:eastAsia="仿宋_GB2312" w:hAnsi="TimesNewRoman" w:cs="TimesNewRoman"/>
          <w:kern w:val="0"/>
          <w:sz w:val="32"/>
          <w:szCs w:val="32"/>
        </w:rPr>
      </w:pPr>
      <w:r>
        <w:rPr>
          <w:rFonts w:ascii="仿宋_GB2312" w:eastAsia="仿宋_GB2312" w:hAnsi="TimesNewRoman" w:cs="TimesNewRoman" w:hint="eastAsia"/>
          <w:sz w:val="32"/>
          <w:szCs w:val="32"/>
          <w:lang w:eastAsia="zh-CN"/>
        </w:rPr>
        <w:t>中共寿县县委办公室</w:t>
      </w:r>
      <w:r>
        <w:rPr>
          <w:rFonts w:ascii="仿宋_GB2312" w:eastAsia="仿宋_GB2312" w:hAnsi="TimesNewRoman" w:cs="TimesNewRoman" w:hint="eastAsia"/>
          <w:kern w:val="0"/>
          <w:sz w:val="32"/>
          <w:szCs w:val="32"/>
        </w:rPr>
        <w:t>2025</w:t>
      </w:r>
      <w:r>
        <w:rPr>
          <w:rFonts w:ascii="仿宋_GB2312" w:eastAsia="仿宋_GB2312" w:hAnsi="TimesNewRoman" w:cs="TimesNewRoman"/>
          <w:kern w:val="0"/>
          <w:sz w:val="32"/>
          <w:szCs w:val="32"/>
        </w:rPr>
        <w:t>年一般公共预算“三公”经费支出预算为</w:t>
      </w:r>
      <w:r>
        <w:rPr>
          <w:rFonts w:ascii="仿宋_GB2312" w:eastAsia="仿宋_GB2312" w:hAnsi="TimesNewRoman" w:cs="TimesNewRoman" w:hint="eastAsia"/>
          <w:kern w:val="0"/>
          <w:sz w:val="32"/>
          <w:szCs w:val="32"/>
          <w:lang w:val="en-US" w:eastAsia="zh-CN"/>
        </w:rPr>
        <w:t>6.8</w:t>
      </w:r>
      <w:r>
        <w:rPr>
          <w:rFonts w:ascii="仿宋_GB2312" w:eastAsia="仿宋_GB2312" w:hAnsi="TimesNewRoman" w:cs="TimesNewRoman"/>
          <w:kern w:val="0"/>
          <w:sz w:val="32"/>
          <w:szCs w:val="32"/>
        </w:rPr>
        <w:t>万元，比</w:t>
      </w:r>
      <w:r>
        <w:rPr>
          <w:rFonts w:ascii="仿宋_GB2312" w:eastAsia="仿宋_GB2312" w:hAnsi="TimesNewRoman" w:cs="TimesNewRoman" w:hint="eastAsia"/>
          <w:kern w:val="0"/>
          <w:sz w:val="32"/>
          <w:szCs w:val="32"/>
        </w:rPr>
        <w:t>2024</w:t>
      </w:r>
      <w:r>
        <w:rPr>
          <w:rFonts w:ascii="仿宋_GB2312" w:eastAsia="仿宋_GB2312" w:hAnsi="TimesNewRoman" w:cs="TimesNewRoman"/>
          <w:kern w:val="0"/>
          <w:sz w:val="32"/>
          <w:szCs w:val="32"/>
        </w:rPr>
        <w:t>年预算减少</w:t>
      </w:r>
      <w:r>
        <w:rPr>
          <w:rFonts w:ascii="仿宋_GB2312" w:eastAsia="仿宋_GB2312" w:hAnsi="TimesNewRoman" w:cs="TimesNewRoman" w:hint="eastAsia"/>
          <w:kern w:val="0"/>
          <w:sz w:val="32"/>
          <w:szCs w:val="32"/>
          <w:lang w:val="en-US" w:eastAsia="zh-CN"/>
        </w:rPr>
        <w:t>0.1</w:t>
      </w:r>
      <w:r>
        <w:rPr>
          <w:rFonts w:ascii="仿宋_GB2312" w:eastAsia="仿宋_GB2312" w:hAnsi="TimesNewRoman" w:cs="TimesNewRoman"/>
          <w:kern w:val="0"/>
          <w:sz w:val="32"/>
          <w:szCs w:val="32"/>
        </w:rPr>
        <w:t>万元，下降</w:t>
      </w:r>
      <w:r>
        <w:rPr>
          <w:rFonts w:ascii="仿宋_GB2312" w:eastAsia="仿宋_GB2312" w:hAnsi="TimesNewRoman" w:cs="TimesNewRoman" w:hint="eastAsia"/>
          <w:kern w:val="0"/>
          <w:sz w:val="32"/>
          <w:szCs w:val="32"/>
          <w:lang w:val="en-US" w:eastAsia="zh-CN"/>
        </w:rPr>
        <w:t>1.45</w:t>
      </w:r>
      <w:r>
        <w:rPr>
          <w:rFonts w:ascii="仿宋_GB2312" w:eastAsia="仿宋_GB2312" w:hAnsi="TimesNewRoman" w:cs="TimesNewRoman"/>
          <w:kern w:val="0"/>
          <w:sz w:val="32"/>
          <w:szCs w:val="32"/>
        </w:rPr>
        <w:t>%。其中：因公出国（境）费支出预算为</w:t>
      </w:r>
      <w:r>
        <w:rPr>
          <w:rFonts w:ascii="仿宋_GB2312" w:eastAsia="仿宋_GB2312" w:hAnsi="TimesNewRoman" w:cs="TimesNewRoman" w:hint="eastAsia"/>
          <w:kern w:val="0"/>
          <w:sz w:val="32"/>
          <w:szCs w:val="32"/>
          <w:lang w:val="en-US" w:eastAsia="zh-CN"/>
        </w:rPr>
        <w:t>0</w:t>
      </w:r>
      <w:r>
        <w:rPr>
          <w:rFonts w:ascii="仿宋_GB2312" w:eastAsia="仿宋_GB2312" w:hAnsi="TimesNewRoman" w:cs="TimesNewRoman"/>
          <w:kern w:val="0"/>
          <w:sz w:val="32"/>
          <w:szCs w:val="32"/>
        </w:rPr>
        <w:t>万元，公务接待费支出预算为</w:t>
      </w:r>
      <w:r>
        <w:rPr>
          <w:rFonts w:ascii="仿宋_GB2312" w:eastAsia="仿宋_GB2312" w:hAnsi="TimesNewRoman" w:cs="TimesNewRoman" w:hint="eastAsia"/>
          <w:kern w:val="0"/>
          <w:sz w:val="32"/>
          <w:szCs w:val="32"/>
          <w:lang w:val="en-US" w:eastAsia="zh-CN"/>
        </w:rPr>
        <w:t>6.8</w:t>
      </w:r>
      <w:r>
        <w:rPr>
          <w:rFonts w:ascii="仿宋_GB2312" w:eastAsia="仿宋_GB2312" w:hAnsi="TimesNewRoman" w:cs="TimesNewRoman"/>
          <w:kern w:val="0"/>
          <w:sz w:val="32"/>
          <w:szCs w:val="32"/>
        </w:rPr>
        <w:t>万元，公务用车购置及运行费支出预算为</w:t>
      </w:r>
      <w:r>
        <w:rPr>
          <w:rFonts w:ascii="仿宋_GB2312" w:eastAsia="仿宋_GB2312" w:hAnsi="TimesNewRoman" w:cs="TimesNewRoman" w:hint="eastAsia"/>
          <w:kern w:val="0"/>
          <w:sz w:val="32"/>
          <w:szCs w:val="32"/>
          <w:lang w:val="en-US" w:eastAsia="zh-CN"/>
        </w:rPr>
        <w:t>0</w:t>
      </w:r>
      <w:r>
        <w:rPr>
          <w:rFonts w:ascii="仿宋_GB2312" w:eastAsia="仿宋_GB2312" w:hAnsi="TimesNewRoman" w:cs="TimesNewRoman"/>
          <w:kern w:val="0"/>
          <w:sz w:val="32"/>
          <w:szCs w:val="32"/>
        </w:rPr>
        <w:t>万元。具体情况如下：</w:t>
      </w:r>
    </w:p>
    <w:p w14:paraId="060A2012">
      <w:pPr>
        <w:pStyle w:val="NormalWeb"/>
        <w:adjustRightInd w:val="0"/>
        <w:snapToGrid w:val="0"/>
        <w:spacing w:beforeAutospacing="0" w:afterAutospacing="0"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b/>
          <w:bCs/>
          <w:sz w:val="32"/>
          <w:szCs w:val="32"/>
        </w:rPr>
        <w:t>（一）因公出国（境）费</w:t>
      </w:r>
      <w:r>
        <w:rPr>
          <w:rFonts w:ascii="仿宋_GB2312" w:eastAsia="仿宋_GB2312" w:hAnsi="TimesNewRoman" w:cs="TimesNewRoman"/>
          <w:sz w:val="32"/>
          <w:szCs w:val="32"/>
        </w:rPr>
        <w:t>支</w:t>
      </w:r>
      <w:r>
        <w:rPr>
          <w:rFonts w:ascii="TimesNewRoman" w:eastAsia="仿宋_GB2312" w:hAnsi="TimesNewRoman" w:cs="TimesNewRoman"/>
          <w:sz w:val="32"/>
          <w:szCs w:val="32"/>
        </w:rPr>
        <w:t>出预算</w:t>
      </w:r>
      <w:r>
        <w:rPr>
          <w:rFonts w:ascii="TimesNewRoman" w:eastAsia="仿宋_GB2312" w:hAnsi="TimesNewRoman" w:cs="TimesNewRoman" w:hint="eastAsia"/>
          <w:sz w:val="32"/>
          <w:szCs w:val="32"/>
          <w:lang w:val="en-US" w:eastAsia="zh-CN"/>
        </w:rPr>
        <w:t>0</w:t>
      </w:r>
      <w:r>
        <w:rPr>
          <w:rFonts w:ascii="TimesNewRoman" w:eastAsia="仿宋_GB2312" w:hAnsi="TimesNewRoman" w:cs="TimesNewRoman"/>
          <w:sz w:val="32"/>
          <w:szCs w:val="32"/>
        </w:rPr>
        <w:t>万元,</w:t>
      </w:r>
      <w:r>
        <w:rPr>
          <w:rFonts w:ascii="仿宋_GB2312" w:eastAsia="仿宋_GB2312" w:hAnsi="TimesNewRoman" w:cs="TimesNewRoman"/>
          <w:sz w:val="32"/>
          <w:szCs w:val="32"/>
        </w:rPr>
        <w:t xml:space="preserve"> 比</w:t>
      </w:r>
      <w:r>
        <w:rPr>
          <w:rFonts w:ascii="仿宋_GB2312" w:eastAsia="仿宋_GB2312" w:hAnsi="TimesNewRoman" w:cs="TimesNewRoman" w:hint="eastAsia"/>
          <w:sz w:val="32"/>
          <w:szCs w:val="32"/>
        </w:rPr>
        <w:t>2024</w:t>
      </w:r>
      <w:r>
        <w:rPr>
          <w:rFonts w:ascii="仿宋_GB2312" w:eastAsia="仿宋_GB2312" w:hAnsi="TimesNewRoman" w:cs="TimesNewRoman"/>
          <w:sz w:val="32"/>
          <w:szCs w:val="32"/>
        </w:rPr>
        <w:t>年预算减少</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sz w:val="32"/>
          <w:szCs w:val="32"/>
        </w:rPr>
        <w:t>万元，下降</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sz w:val="32"/>
          <w:szCs w:val="32"/>
        </w:rPr>
        <w:t>%</w:t>
      </w:r>
      <w:r>
        <w:rPr>
          <w:rFonts w:ascii="仿宋_GB2312" w:eastAsia="仿宋_GB2312" w:hAnsi="TimesNewRoman" w:cs="TimesNewRoman" w:hint="eastAsia"/>
          <w:sz w:val="32"/>
          <w:szCs w:val="32"/>
        </w:rPr>
        <w:t>。</w:t>
      </w:r>
    </w:p>
    <w:p w14:paraId="2C3CF5EB">
      <w:pPr>
        <w:pStyle w:val="NormalWeb"/>
        <w:spacing w:before="0" w:beforeAutospacing="0" w:after="0" w:afterAutospacing="0" w:line="520" w:lineRule="exact"/>
        <w:ind w:firstLine="538" w:firstLineChars="168"/>
        <w:jc w:val="both"/>
        <w:rPr>
          <w:rFonts w:ascii="仿宋_GB2312" w:eastAsia="仿宋_GB2312" w:hAnsi="TimesNewRoman" w:cs="TimesNewRoman" w:hint="eastAsia"/>
          <w:sz w:val="32"/>
          <w:szCs w:val="32"/>
        </w:rPr>
      </w:pPr>
      <w:r>
        <w:rPr>
          <w:rFonts w:ascii="仿宋_GB2312" w:eastAsia="仿宋_GB2312" w:hAnsi="TimesNewRoman" w:cs="TimesNewRoman"/>
          <w:b/>
          <w:bCs/>
          <w:sz w:val="32"/>
          <w:szCs w:val="32"/>
        </w:rPr>
        <w:t>（二）</w:t>
      </w:r>
      <w:r>
        <w:rPr>
          <w:rFonts w:ascii="仿宋" w:eastAsia="仿宋" w:hAnsi="仿宋" w:hint="eastAsia"/>
          <w:b/>
          <w:color w:val="000000"/>
          <w:sz w:val="32"/>
          <w:szCs w:val="32"/>
        </w:rPr>
        <w:t>公务用车购置及运行费</w:t>
      </w:r>
      <w:r>
        <w:rPr>
          <w:rFonts w:ascii="仿宋" w:eastAsia="仿宋" w:hAnsi="仿宋" w:hint="eastAsia"/>
          <w:color w:val="000000"/>
          <w:sz w:val="32"/>
          <w:szCs w:val="32"/>
        </w:rPr>
        <w:t>支出预算0万元，</w:t>
      </w:r>
      <w:r>
        <w:rPr>
          <w:rFonts w:ascii="仿宋" w:eastAsia="仿宋" w:hAnsi="仿宋" w:hint="eastAsia"/>
          <w:sz w:val="32"/>
          <w:szCs w:val="32"/>
        </w:rPr>
        <w:t>与2023年预算持平。</w:t>
      </w:r>
      <w:r>
        <w:rPr>
          <w:rFonts w:ascii="仿宋" w:eastAsia="仿宋" w:hAnsi="仿宋" w:hint="eastAsia"/>
          <w:color w:val="000000"/>
          <w:sz w:val="32"/>
          <w:szCs w:val="32"/>
        </w:rPr>
        <w:t>其中：公务用车运行费0万元，</w:t>
      </w:r>
      <w:r>
        <w:rPr>
          <w:rFonts w:ascii="仿宋" w:eastAsia="仿宋" w:hAnsi="仿宋" w:hint="eastAsia"/>
          <w:sz w:val="32"/>
          <w:szCs w:val="32"/>
        </w:rPr>
        <w:t>与2023年预算持平，原因主要是实行公车改革后，单位已没有车辆，该项经费主要用于车辆燃料费、维修费、过路过桥费等支出；</w:t>
      </w:r>
      <w:r>
        <w:rPr>
          <w:rFonts w:ascii="仿宋" w:eastAsia="仿宋" w:hAnsi="仿宋" w:hint="eastAsia"/>
          <w:color w:val="000000"/>
          <w:sz w:val="32"/>
          <w:szCs w:val="32"/>
        </w:rPr>
        <w:t>公务用车购置费0万元，</w:t>
      </w:r>
      <w:r>
        <w:rPr>
          <w:rFonts w:ascii="仿宋" w:eastAsia="仿宋" w:hAnsi="仿宋" w:hint="eastAsia"/>
          <w:sz w:val="32"/>
          <w:szCs w:val="32"/>
        </w:rPr>
        <w:t>与202</w:t>
      </w:r>
      <w:r>
        <w:rPr>
          <w:rFonts w:ascii="仿宋" w:eastAsia="仿宋" w:hAnsi="仿宋" w:hint="eastAsia"/>
          <w:sz w:val="32"/>
          <w:szCs w:val="32"/>
          <w:lang w:val="en-US" w:eastAsia="zh-CN"/>
        </w:rPr>
        <w:t>4</w:t>
      </w:r>
      <w:r>
        <w:rPr>
          <w:rFonts w:ascii="仿宋" w:eastAsia="仿宋" w:hAnsi="仿宋" w:hint="eastAsia"/>
          <w:sz w:val="32"/>
          <w:szCs w:val="32"/>
        </w:rPr>
        <w:t>年预算持平，原因主要是实行公车改革后，单位已没有车辆，</w:t>
      </w:r>
      <w:r>
        <w:rPr>
          <w:rFonts w:ascii="仿宋_GB2312" w:eastAsia="仿宋_GB2312" w:hAnsi="仿宋" w:hint="eastAsia"/>
          <w:sz w:val="32"/>
          <w:szCs w:val="32"/>
        </w:rPr>
        <w:t>该项经费主要用于</w:t>
      </w:r>
      <w:r>
        <w:rPr>
          <w:rFonts w:ascii="仿宋" w:eastAsia="仿宋" w:hAnsi="仿宋" w:hint="eastAsia"/>
          <w:color w:val="000000"/>
          <w:sz w:val="32"/>
          <w:szCs w:val="32"/>
        </w:rPr>
        <w:t>公务用车购置。经费使用严格按照中央、省和市有关公务用车配备使用管理制度执行。</w:t>
      </w:r>
    </w:p>
    <w:p w14:paraId="4A9FFEAB">
      <w:pPr>
        <w:pStyle w:val="NormalWeb"/>
        <w:spacing w:before="0" w:beforeAutospacing="0" w:after="0" w:afterAutospacing="0" w:line="520" w:lineRule="exact"/>
        <w:ind w:firstLine="480" w:firstLineChars="150"/>
        <w:jc w:val="both"/>
        <w:rPr>
          <w:rFonts w:ascii="仿宋_GB2312" w:eastAsia="仿宋_GB2312" w:hAnsi="TimesNewRoman" w:cs="TimesNewRoman" w:hint="eastAsia"/>
          <w:sz w:val="32"/>
          <w:szCs w:val="32"/>
        </w:rPr>
      </w:pPr>
      <w:r>
        <w:rPr>
          <w:rFonts w:ascii="仿宋_GB2312" w:eastAsia="仿宋_GB2312" w:hAnsi="TimesNewRoman" w:cs="TimesNewRoman" w:hint="eastAsia"/>
          <w:b/>
          <w:sz w:val="32"/>
          <w:szCs w:val="32"/>
        </w:rPr>
        <w:t>（三）</w:t>
      </w:r>
      <w:r>
        <w:rPr>
          <w:rFonts w:ascii="仿宋" w:eastAsia="仿宋" w:hAnsi="仿宋" w:hint="eastAsia"/>
          <w:b/>
          <w:color w:val="000000"/>
          <w:sz w:val="32"/>
          <w:szCs w:val="32"/>
        </w:rPr>
        <w:t>公务接待费</w:t>
      </w:r>
      <w:r>
        <w:rPr>
          <w:rFonts w:ascii="仿宋" w:eastAsia="仿宋" w:hAnsi="仿宋" w:hint="eastAsia"/>
          <w:color w:val="000000"/>
          <w:sz w:val="32"/>
          <w:szCs w:val="32"/>
        </w:rPr>
        <w:t>支出预算6.</w:t>
      </w:r>
      <w:r>
        <w:rPr>
          <w:rFonts w:ascii="仿宋" w:eastAsia="仿宋" w:hAnsi="仿宋" w:hint="eastAsia"/>
          <w:color w:val="000000"/>
          <w:sz w:val="32"/>
          <w:szCs w:val="32"/>
          <w:lang w:val="en-US" w:eastAsia="zh-CN"/>
        </w:rPr>
        <w:t>8</w:t>
      </w:r>
      <w:r>
        <w:rPr>
          <w:rFonts w:ascii="仿宋" w:eastAsia="仿宋" w:hAnsi="仿宋" w:hint="eastAsia"/>
          <w:color w:val="000000"/>
          <w:sz w:val="32"/>
          <w:szCs w:val="32"/>
        </w:rPr>
        <w:t>万元，</w:t>
      </w:r>
      <w:r>
        <w:rPr>
          <w:rFonts w:ascii="仿宋" w:eastAsia="仿宋" w:hAnsi="仿宋" w:hint="eastAsia"/>
          <w:sz w:val="32"/>
          <w:szCs w:val="32"/>
        </w:rPr>
        <w:t>与202</w:t>
      </w:r>
      <w:r>
        <w:rPr>
          <w:rFonts w:ascii="仿宋" w:eastAsia="仿宋" w:hAnsi="仿宋" w:hint="eastAsia"/>
          <w:sz w:val="32"/>
          <w:szCs w:val="32"/>
          <w:lang w:val="en-US" w:eastAsia="zh-CN"/>
        </w:rPr>
        <w:t>4</w:t>
      </w:r>
      <w:r>
        <w:rPr>
          <w:rFonts w:ascii="仿宋" w:eastAsia="仿宋" w:hAnsi="仿宋" w:hint="eastAsia"/>
          <w:sz w:val="32"/>
          <w:szCs w:val="32"/>
        </w:rPr>
        <w:t>年预算相比</w:t>
      </w:r>
      <w:r>
        <w:rPr>
          <w:rFonts w:ascii="仿宋_GB2312" w:eastAsia="仿宋_GB2312" w:hAnsi="TimesNewRoman" w:cs="TimesNewRoman"/>
          <w:kern w:val="0"/>
          <w:sz w:val="32"/>
          <w:szCs w:val="32"/>
        </w:rPr>
        <w:t>下降</w:t>
      </w:r>
      <w:r>
        <w:rPr>
          <w:rFonts w:ascii="仿宋_GB2312" w:eastAsia="仿宋_GB2312" w:hAnsi="TimesNewRoman" w:cs="TimesNewRoman" w:hint="eastAsia"/>
          <w:kern w:val="0"/>
          <w:sz w:val="32"/>
          <w:szCs w:val="32"/>
          <w:lang w:val="en-US" w:eastAsia="zh-CN"/>
        </w:rPr>
        <w:t>1.45</w:t>
      </w:r>
      <w:r>
        <w:rPr>
          <w:rFonts w:ascii="仿宋_GB2312" w:eastAsia="仿宋_GB2312" w:hAnsi="TimesNewRoman" w:cs="TimesNewRoman"/>
          <w:kern w:val="0"/>
          <w:sz w:val="32"/>
          <w:szCs w:val="32"/>
        </w:rPr>
        <w:t>%</w:t>
      </w:r>
      <w:r>
        <w:rPr>
          <w:rFonts w:ascii="仿宋" w:eastAsia="仿宋" w:hAnsi="仿宋" w:hint="eastAsia"/>
          <w:sz w:val="32"/>
          <w:szCs w:val="32"/>
        </w:rPr>
        <w:t>，原因主要是按照三公经费管理规定，只减不增，</w:t>
      </w:r>
      <w:r>
        <w:rPr>
          <w:rFonts w:ascii="仿宋" w:eastAsia="仿宋" w:hAnsi="仿宋" w:hint="eastAsia"/>
          <w:sz w:val="32"/>
          <w:szCs w:val="32"/>
          <w:lang w:eastAsia="zh-CN"/>
        </w:rPr>
        <w:t>压减一般性支出。</w:t>
      </w:r>
      <w:r>
        <w:rPr>
          <w:rFonts w:ascii="仿宋" w:eastAsia="仿宋" w:hAnsi="仿宋" w:hint="eastAsia"/>
          <w:sz w:val="32"/>
          <w:szCs w:val="32"/>
        </w:rPr>
        <w:t>该项经费</w:t>
      </w:r>
      <w:r>
        <w:rPr>
          <w:rFonts w:ascii="仿宋" w:eastAsia="仿宋" w:hAnsi="仿宋" w:hint="eastAsia"/>
          <w:color w:val="000000"/>
          <w:sz w:val="32"/>
          <w:szCs w:val="32"/>
        </w:rPr>
        <w:t>主要用于工作、招商等公务往来支出。经费使用严格执行《党政机关厉行节约反对浪费条例》（中发〔2013〕13号）和《寿县党政机关公务接待管理规定（寿办发〔2015〕2号）规定。</w:t>
      </w:r>
    </w:p>
    <w:p w14:paraId="265E5C8B">
      <w:pPr>
        <w:pStyle w:val="NormalWeb"/>
        <w:topLinePunct/>
        <w:adjustRightInd w:val="0"/>
        <w:snapToGrid w:val="0"/>
        <w:spacing w:beforeAutospacing="0" w:afterAutospacing="0" w:line="560" w:lineRule="exact"/>
        <w:ind w:firstLine="640" w:firstLineChars="200"/>
        <w:jc w:val="both"/>
        <w:rPr>
          <w:rFonts w:ascii="楷体_GB2312" w:eastAsia="楷体_GB2312" w:hAnsi="TimesNewRoman" w:cs="TimesNewRoman" w:hint="eastAsia"/>
          <w:b/>
          <w:sz w:val="32"/>
          <w:szCs w:val="32"/>
        </w:rPr>
      </w:pPr>
      <w:r>
        <w:rPr>
          <w:rFonts w:ascii="楷体_GB2312" w:eastAsia="楷体_GB2312" w:hAnsi="TimesNewRoman" w:cs="TimesNewRoman" w:hint="eastAsia"/>
          <w:b/>
          <w:sz w:val="32"/>
          <w:szCs w:val="32"/>
        </w:rPr>
        <w:t>十三、其他重要事项情况说明</w:t>
      </w:r>
    </w:p>
    <w:p w14:paraId="3EF6633A">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（一）项目及绩效目标情况。</w:t>
      </w:r>
    </w:p>
    <w:p w14:paraId="34F6D1E3">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1.“</w:t>
      </w:r>
      <w:r>
        <w:rPr>
          <w:rFonts w:ascii="仿宋_GB2312" w:eastAsia="仿宋_GB2312" w:hAnsi="楷体" w:hint="eastAsia"/>
          <w:b/>
          <w:sz w:val="32"/>
          <w:szCs w:val="32"/>
        </w:rPr>
        <w:t>机要保密调研档案法规督察等专项工作</w:t>
      </w:r>
      <w:r>
        <w:rPr>
          <w:rFonts w:ascii="仿宋_GB2312" w:eastAsia="仿宋_GB2312" w:hAnsi="TimesNewRoman" w:cs="TimesNewRoman" w:hint="eastAsia"/>
          <w:b/>
          <w:sz w:val="32"/>
          <w:szCs w:val="32"/>
        </w:rPr>
        <w:t>”项目。</w:t>
      </w:r>
    </w:p>
    <w:p w14:paraId="27453E8C">
      <w:pPr>
        <w:adjustRightInd w:val="0"/>
        <w:snapToGrid w:val="0"/>
        <w:spacing w:line="600" w:lineRule="exact"/>
        <w:ind w:firstLine="640" w:firstLineChars="200"/>
        <w:rPr>
          <w:rFonts w:ascii="仿宋_GB2312" w:eastAsia="仿宋_GB2312" w:hAnsi="楷体"/>
          <w:sz w:val="32"/>
          <w:szCs w:val="32"/>
        </w:rPr>
      </w:pPr>
      <w:r>
        <w:rPr>
          <w:rFonts w:ascii="仿宋_GB2312" w:eastAsia="仿宋_GB2312" w:hAnsi="楷体" w:hint="eastAsia"/>
          <w:sz w:val="32"/>
          <w:szCs w:val="32"/>
        </w:rPr>
        <w:t>（1）项目概述。县委办各科室局为完成年度工作目标和任务，用于开支人员福利费和公用经费。机要工作用于购买机要设备、办公费等支出20万元；保密工作用于保密设备购置、保密文件印发及销毁、保密培训等支出20万元；调研工作用于承接上级调研工作、本级调研开展等各项支出20万元；档案法规工作用于档案法规管理及审核、培训、全县档案法规检查等各项工作10万元；督察工作用于县委督察室开展各项督察工作、民声呼应工作、会议材料印刷费等各项支出</w:t>
      </w:r>
      <w:r>
        <w:rPr>
          <w:rFonts w:ascii="仿宋_GB2312" w:eastAsia="仿宋_GB2312" w:hAnsi="楷体" w:hint="eastAsia"/>
          <w:sz w:val="32"/>
          <w:szCs w:val="32"/>
          <w:lang w:val="en-US" w:eastAsia="zh-CN"/>
        </w:rPr>
        <w:t>29.11</w:t>
      </w:r>
      <w:r>
        <w:rPr>
          <w:rFonts w:ascii="仿宋_GB2312" w:eastAsia="仿宋_GB2312" w:hAnsi="楷体" w:hint="eastAsia"/>
          <w:sz w:val="32"/>
          <w:szCs w:val="32"/>
        </w:rPr>
        <w:t>万元。按照财政零基预算的原则，经县委办事前项目支出评审小组评审后报县财政决定：纳入县财政预算，全年</w:t>
      </w:r>
      <w:r>
        <w:rPr>
          <w:rFonts w:ascii="仿宋_GB2312" w:eastAsia="仿宋_GB2312" w:hAnsi="楷体" w:hint="eastAsia"/>
          <w:sz w:val="32"/>
          <w:szCs w:val="32"/>
          <w:lang w:val="en-US" w:eastAsia="zh-CN"/>
        </w:rPr>
        <w:t>99.11</w:t>
      </w:r>
      <w:r>
        <w:rPr>
          <w:rFonts w:ascii="仿宋_GB2312" w:eastAsia="仿宋_GB2312" w:hAnsi="楷体" w:hint="eastAsia"/>
          <w:sz w:val="32"/>
          <w:szCs w:val="32"/>
        </w:rPr>
        <w:t>万元。</w:t>
      </w:r>
    </w:p>
    <w:p w14:paraId="39F6B5D0">
      <w:pPr>
        <w:spacing w:line="600" w:lineRule="exact"/>
        <w:ind w:firstLine="586" w:firstLineChars="183"/>
        <w:rPr>
          <w:rFonts w:ascii="仿宋_GB2312" w:eastAsia="仿宋_GB2312" w:hAnsi="楷体"/>
          <w:sz w:val="32"/>
          <w:szCs w:val="32"/>
        </w:rPr>
      </w:pPr>
      <w:r>
        <w:rPr>
          <w:rFonts w:ascii="仿宋_GB2312" w:eastAsia="仿宋_GB2312" w:hAnsi="楷体" w:hint="eastAsia"/>
          <w:sz w:val="32"/>
          <w:szCs w:val="32"/>
        </w:rPr>
        <w:t>（2）立项依据。县委办事前项目支出评审小组评审后报县财政决定：纳入县财政预算，全年</w:t>
      </w:r>
      <w:r>
        <w:rPr>
          <w:rFonts w:ascii="仿宋_GB2312" w:eastAsia="仿宋_GB2312" w:hAnsi="楷体" w:hint="eastAsia"/>
          <w:sz w:val="32"/>
          <w:szCs w:val="32"/>
          <w:lang w:val="en-US" w:eastAsia="zh-CN"/>
        </w:rPr>
        <w:t>99.11</w:t>
      </w:r>
      <w:r>
        <w:rPr>
          <w:rFonts w:ascii="仿宋_GB2312" w:eastAsia="仿宋_GB2312" w:hAnsi="楷体" w:hint="eastAsia"/>
          <w:sz w:val="32"/>
          <w:szCs w:val="32"/>
        </w:rPr>
        <w:t>万元。</w:t>
      </w:r>
    </w:p>
    <w:p w14:paraId="5E283356">
      <w:pPr>
        <w:spacing w:line="600" w:lineRule="exact"/>
        <w:ind w:firstLine="586" w:firstLineChars="183"/>
        <w:rPr>
          <w:rFonts w:ascii="仿宋_GB2312" w:eastAsia="仿宋_GB2312" w:hAnsi="楷体"/>
          <w:sz w:val="32"/>
          <w:szCs w:val="32"/>
          <w:u w:val="single"/>
        </w:rPr>
      </w:pPr>
      <w:r>
        <w:rPr>
          <w:rFonts w:ascii="仿宋_GB2312" w:eastAsia="仿宋_GB2312" w:hAnsi="楷体" w:hint="eastAsia"/>
          <w:sz w:val="32"/>
          <w:szCs w:val="32"/>
        </w:rPr>
        <w:t>（3）实施主体。</w:t>
      </w:r>
      <w:r>
        <w:rPr>
          <w:rFonts w:ascii="仿宋" w:eastAsia="仿宋" w:hAnsi="仿宋" w:hint="eastAsia"/>
          <w:sz w:val="32"/>
          <w:szCs w:val="32"/>
        </w:rPr>
        <w:t>中共寿县县委办公室</w:t>
      </w:r>
    </w:p>
    <w:p w14:paraId="2D2FD1F5">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楷体" w:hint="eastAsia"/>
          <w:sz w:val="32"/>
          <w:szCs w:val="32"/>
        </w:rPr>
        <w:t>（4）起止时间。</w:t>
      </w:r>
      <w:r>
        <w:rPr>
          <w:rFonts w:ascii="仿宋_GB2312" w:eastAsia="仿宋_GB2312" w:hAnsi="仿宋" w:hint="eastAsia"/>
          <w:sz w:val="32"/>
          <w:szCs w:val="32"/>
        </w:rPr>
        <w:t>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年1月1日-202</w:t>
      </w:r>
      <w:r>
        <w:rPr>
          <w:rFonts w:ascii="仿宋_GB2312" w:eastAsia="仿宋_GB2312" w:hAnsi="仿宋" w:hint="eastAsia"/>
          <w:sz w:val="32"/>
          <w:szCs w:val="32"/>
          <w:lang w:val="en-US" w:eastAsia="zh-CN"/>
        </w:rPr>
        <w:t>5</w:t>
      </w:r>
      <w:r>
        <w:rPr>
          <w:rFonts w:ascii="仿宋_GB2312" w:eastAsia="仿宋_GB2312" w:hAnsi="仿宋" w:hint="eastAsia"/>
          <w:sz w:val="32"/>
          <w:szCs w:val="32"/>
        </w:rPr>
        <w:t>年12月31日</w:t>
      </w:r>
    </w:p>
    <w:p w14:paraId="5FF25EDA">
      <w:pPr>
        <w:spacing w:line="600" w:lineRule="exact"/>
        <w:ind w:firstLine="642"/>
        <w:rPr>
          <w:rFonts w:ascii="仿宋_GB2312" w:eastAsia="仿宋_GB2312" w:hAnsi="仿宋_GB2312" w:cs="仿宋_GB2312"/>
          <w:bCs/>
          <w:sz w:val="30"/>
          <w:szCs w:val="30"/>
        </w:rPr>
      </w:pPr>
      <w:r>
        <w:rPr>
          <w:rFonts w:ascii="仿宋_GB2312" w:eastAsia="仿宋_GB2312" w:hAnsi="楷体" w:hint="eastAsia"/>
          <w:sz w:val="32"/>
          <w:szCs w:val="32"/>
        </w:rPr>
        <w:t>（5）项目内容。完成机要保密密码工作、政策调研工作、效能管理工作、目标管理工作、县委督查工作等全年工作任务。</w:t>
      </w:r>
    </w:p>
    <w:p w14:paraId="3A6C021A">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楷体" w:hint="eastAsia"/>
          <w:sz w:val="32"/>
          <w:szCs w:val="32"/>
        </w:rPr>
        <w:t>（6）年度预算安排。</w:t>
      </w:r>
      <w:r>
        <w:rPr>
          <w:rFonts w:ascii="仿宋_GB2312" w:eastAsia="仿宋_GB2312" w:hAnsi="仿宋" w:hint="eastAsia"/>
          <w:sz w:val="32"/>
          <w:szCs w:val="32"/>
        </w:rPr>
        <w:t>全年共需资金101.84万元，纳入年初预算。</w:t>
      </w:r>
    </w:p>
    <w:p w14:paraId="598D89C9">
      <w:pPr>
        <w:adjustRightInd w:val="0"/>
        <w:snapToGrid w:val="0"/>
        <w:spacing w:line="600" w:lineRule="exact"/>
        <w:ind w:firstLine="640" w:firstLineChars="200"/>
        <w:rPr>
          <w:rFonts w:ascii="仿宋_GB2312" w:eastAsia="仿宋_GB2312" w:hAnsi="楷体" w:hint="eastAsia"/>
          <w:sz w:val="32"/>
          <w:szCs w:val="32"/>
        </w:rPr>
      </w:pPr>
      <w:r>
        <w:rPr>
          <w:rFonts w:ascii="仿宋_GB2312" w:eastAsia="仿宋_GB2312" w:hAnsi="楷体" w:hint="eastAsia"/>
          <w:sz w:val="32"/>
          <w:szCs w:val="32"/>
        </w:rPr>
        <w:t>（7）绩效目标。</w:t>
      </w:r>
    </w:p>
    <w:tbl>
      <w:tblPr>
        <w:tblStyle w:val="TableNormal"/>
        <w:tblW w:w="8540"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2119"/>
        <w:gridCol w:w="233"/>
        <w:gridCol w:w="1405"/>
        <w:gridCol w:w="1105"/>
        <w:gridCol w:w="234"/>
        <w:gridCol w:w="225"/>
        <w:gridCol w:w="1634"/>
        <w:gridCol w:w="223"/>
        <w:gridCol w:w="1362"/>
      </w:tblGrid>
      <w:tr w14:paraId="02753A71">
        <w:tblPrEx>
          <w:tblW w:w="8540" w:type="dxa"/>
          <w:tblInd w:w="93" w:type="dxa"/>
          <w:shd w:val="clear" w:color="auto" w:fill="auto"/>
        </w:tblPrEx>
        <w:trPr>
          <w:trHeight w:val="644"/>
        </w:trPr>
        <w:tc>
          <w:tcPr>
            <w:tcW w:w="8540" w:type="dxa"/>
            <w:gridSpan w:val="9"/>
            <w:tcBorders>
              <w:top w:val="nil"/>
              <w:left w:val="nil"/>
              <w:bottom w:val="nil"/>
              <w:right w:val="nil"/>
            </w:tcBorders>
            <w:shd w:val="clear" w:color="auto" w:fill="FFFFFF"/>
            <w:vAlign w:val="center"/>
          </w:tcPr>
          <w:p w14:paraId="1E52B49F">
            <w:pPr>
              <w:keepNext w:val="0"/>
              <w:keepLines w:val="0"/>
              <w:widowControl/>
              <w:suppressLineNumbers w:val="0"/>
              <w:jc w:val="center"/>
              <w:textAlignment w:val="center"/>
              <w:rPr>
                <w:rFonts w:ascii="黑体" w:eastAsia="黑体" w:hAnsi="宋体" w:cs="黑体"/>
                <w:i w:val="0"/>
                <w:iCs w:val="0"/>
                <w:color w:val="000000"/>
                <w:sz w:val="40"/>
                <w:szCs w:val="40"/>
                <w:u w:val="none"/>
              </w:rPr>
            </w:pPr>
            <w:r>
              <w:rPr>
                <w:rFonts w:ascii="黑体" w:eastAsia="黑体" w:hAnsi="宋体" w:cs="黑体" w:hint="eastAsia"/>
                <w:i w:val="0"/>
                <w:iCs w:val="0"/>
                <w:color w:val="000000"/>
                <w:kern w:val="0"/>
                <w:sz w:val="40"/>
                <w:szCs w:val="40"/>
                <w:u w:val="none"/>
                <w:lang w:val="en-US" w:eastAsia="zh-CN" w:bidi="ar"/>
              </w:rPr>
              <w:t>2025年绩效目标申报表</w:t>
            </w:r>
          </w:p>
        </w:tc>
      </w:tr>
      <w:tr w14:paraId="132D59A4">
        <w:tblPrEx>
          <w:tblW w:w="8540" w:type="dxa"/>
          <w:tblInd w:w="93" w:type="dxa"/>
          <w:shd w:val="clear" w:color="auto" w:fill="auto"/>
        </w:tblPrEx>
        <w:trPr>
          <w:trHeight w:val="413"/>
        </w:trPr>
        <w:tc>
          <w:tcPr>
            <w:tcW w:w="8540" w:type="dxa"/>
            <w:gridSpan w:val="9"/>
            <w:tcBorders>
              <w:top w:val="nil"/>
              <w:left w:val="nil"/>
              <w:bottom w:val="single" w:sz="4" w:space="0" w:color="000000"/>
              <w:right w:val="nil"/>
            </w:tcBorders>
            <w:shd w:val="clear" w:color="auto" w:fill="FFFFFF"/>
            <w:vAlign w:val="top"/>
          </w:tcPr>
          <w:p w14:paraId="44E48A24">
            <w:pPr>
              <w:keepNext w:val="0"/>
              <w:keepLines w:val="0"/>
              <w:widowControl/>
              <w:suppressLineNumbers w:val="0"/>
              <w:jc w:val="right"/>
              <w:textAlignment w:val="top"/>
              <w:rPr>
                <w:rFonts w:ascii="宋体" w:eastAsia="宋体" w:hAnsi="宋体" w:cs="宋体" w:hint="eastAsia"/>
                <w:i w:val="0"/>
                <w:iCs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单位：元</w:t>
            </w:r>
          </w:p>
        </w:tc>
      </w:tr>
      <w:tr w14:paraId="4322EA02">
        <w:tblPrEx>
          <w:tblW w:w="8540" w:type="dxa"/>
          <w:tblInd w:w="93" w:type="dxa"/>
          <w:shd w:val="clear" w:color="auto" w:fill="auto"/>
        </w:tblPrEx>
        <w:trPr>
          <w:trHeight w:val="655"/>
        </w:trPr>
        <w:tc>
          <w:tcPr>
            <w:tcW w:w="23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84D9EFA">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项目名称</w:t>
            </w:r>
          </w:p>
        </w:tc>
        <w:tc>
          <w:tcPr>
            <w:tcW w:w="271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ACC4BF6">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机要保密调研档案法规督察等专项工作经费</w:t>
            </w:r>
          </w:p>
        </w:tc>
        <w:tc>
          <w:tcPr>
            <w:tcW w:w="191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242B73B">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主管部门</w:t>
            </w:r>
          </w:p>
        </w:tc>
        <w:tc>
          <w:tcPr>
            <w:tcW w:w="15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279347D">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县委办公室</w:t>
            </w:r>
          </w:p>
        </w:tc>
      </w:tr>
      <w:tr w14:paraId="6ECB3CE9">
        <w:tblPrEx>
          <w:tblW w:w="8540" w:type="dxa"/>
          <w:tblInd w:w="93" w:type="dxa"/>
          <w:shd w:val="clear" w:color="auto" w:fill="auto"/>
        </w:tblPrEx>
        <w:trPr>
          <w:trHeight w:val="533"/>
        </w:trPr>
        <w:tc>
          <w:tcPr>
            <w:tcW w:w="23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100D1C">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实施单位</w:t>
            </w:r>
          </w:p>
        </w:tc>
        <w:tc>
          <w:tcPr>
            <w:tcW w:w="271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2B67A82">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县委办公室</w:t>
            </w:r>
          </w:p>
        </w:tc>
        <w:tc>
          <w:tcPr>
            <w:tcW w:w="191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4FB667C">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支出项目类别</w:t>
            </w:r>
          </w:p>
        </w:tc>
        <w:tc>
          <w:tcPr>
            <w:tcW w:w="15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0DB99D9">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保运转</w:t>
            </w:r>
          </w:p>
        </w:tc>
      </w:tr>
      <w:tr w14:paraId="58CCB922">
        <w:tblPrEx>
          <w:tblW w:w="8540" w:type="dxa"/>
          <w:tblInd w:w="93" w:type="dxa"/>
          <w:shd w:val="clear" w:color="auto" w:fill="auto"/>
        </w:tblPrEx>
        <w:trPr>
          <w:trHeight w:val="533"/>
        </w:trPr>
        <w:tc>
          <w:tcPr>
            <w:tcW w:w="23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D0E6E7E">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是否事前绩效评估</w:t>
            </w:r>
          </w:p>
        </w:tc>
        <w:tc>
          <w:tcPr>
            <w:tcW w:w="271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2F96801">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是</w:t>
            </w:r>
          </w:p>
        </w:tc>
        <w:tc>
          <w:tcPr>
            <w:tcW w:w="191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BDC75D">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绩效目标是否公开</w:t>
            </w:r>
          </w:p>
        </w:tc>
        <w:tc>
          <w:tcPr>
            <w:tcW w:w="15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970DE47">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公开</w:t>
            </w:r>
          </w:p>
        </w:tc>
      </w:tr>
      <w:tr w14:paraId="7306A7F8">
        <w:tblPrEx>
          <w:tblW w:w="8540" w:type="dxa"/>
          <w:tblInd w:w="93" w:type="dxa"/>
          <w:shd w:val="clear" w:color="auto" w:fill="auto"/>
        </w:tblPrEx>
        <w:trPr>
          <w:trHeight w:val="1622"/>
        </w:trPr>
        <w:tc>
          <w:tcPr>
            <w:tcW w:w="23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C5D6F8">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事前绩效评估审核结论</w:t>
            </w:r>
          </w:p>
        </w:tc>
        <w:tc>
          <w:tcPr>
            <w:tcW w:w="271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39D152A">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县委办公室机要保密调研档案督察等专项工作经费使用方向符合相关规定，绩效自评分数98分，绩效评价评估结果为“优”</w:t>
            </w:r>
          </w:p>
        </w:tc>
        <w:tc>
          <w:tcPr>
            <w:tcW w:w="191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27C4828">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是否基建项目</w:t>
            </w:r>
          </w:p>
        </w:tc>
        <w:tc>
          <w:tcPr>
            <w:tcW w:w="15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E5D7BF9">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否</w:t>
            </w:r>
          </w:p>
        </w:tc>
      </w:tr>
      <w:tr w14:paraId="62F3AA06">
        <w:tblPrEx>
          <w:tblW w:w="8540" w:type="dxa"/>
          <w:tblInd w:w="93" w:type="dxa"/>
          <w:shd w:val="clear" w:color="auto" w:fill="auto"/>
        </w:tblPrEx>
        <w:trPr>
          <w:trHeight w:val="2267"/>
        </w:trPr>
        <w:tc>
          <w:tcPr>
            <w:tcW w:w="20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87307">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项目概述</w:t>
            </w:r>
          </w:p>
        </w:tc>
        <w:tc>
          <w:tcPr>
            <w:tcW w:w="6441"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1F8FF12D">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县委办各科室局为完成年度工作目标和任务，用于开支人员福利费和公用经费。机要工作用于购买机要设备、办公费等支出20万元；保密工作用于保密设备购置、保密文件印发及销毁、保密培训等支出20万元；调研工作用于承接上级调研工作、本级调研开展等各项支出20万元；档案法规工作用于档案法规管理及审核、培训、全县档案法规检查等各项工作10万元；督察工作用于县委督察室开展各项督察工作、民声呼应工作、会议材料印刷费等各项支出29.11万元。</w:t>
            </w:r>
          </w:p>
        </w:tc>
      </w:tr>
      <w:tr w14:paraId="40C457F8">
        <w:tblPrEx>
          <w:tblW w:w="8540" w:type="dxa"/>
          <w:tblInd w:w="93" w:type="dxa"/>
          <w:shd w:val="clear" w:color="auto" w:fill="auto"/>
        </w:tblPrEx>
        <w:trPr>
          <w:trHeight w:val="789"/>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AFC187">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立项依据</w:t>
            </w:r>
          </w:p>
        </w:tc>
        <w:tc>
          <w:tcPr>
            <w:tcW w:w="6441"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78CA0C99">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县委常委会会议纪要</w:t>
            </w:r>
          </w:p>
        </w:tc>
      </w:tr>
      <w:tr w14:paraId="2F7E5C3E">
        <w:tblPrEx>
          <w:tblW w:w="8540" w:type="dxa"/>
          <w:tblInd w:w="93" w:type="dxa"/>
          <w:shd w:val="clear" w:color="auto" w:fill="auto"/>
        </w:tblPrEx>
        <w:trPr>
          <w:trHeight w:val="533"/>
        </w:trPr>
        <w:tc>
          <w:tcPr>
            <w:tcW w:w="20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594B1F">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项目资金情况（万元）</w:t>
            </w:r>
          </w:p>
        </w:tc>
        <w:tc>
          <w:tcPr>
            <w:tcW w:w="162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3467E2">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年度资金</w:t>
            </w:r>
          </w:p>
        </w:tc>
        <w:tc>
          <w:tcPr>
            <w:tcW w:w="4819"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7467885">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99.11</w:t>
            </w:r>
          </w:p>
        </w:tc>
      </w:tr>
      <w:tr w14:paraId="025C7517">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963124">
            <w:pPr>
              <w:jc w:val="center"/>
              <w:rPr>
                <w:rFonts w:ascii="宋体" w:eastAsia="宋体" w:hAnsi="宋体" w:cs="宋体" w:hint="eastAsia"/>
                <w:i w:val="0"/>
                <w:iCs w:val="0"/>
                <w:color w:val="000000"/>
                <w:sz w:val="20"/>
                <w:szCs w:val="20"/>
                <w:u w:val="none"/>
              </w:rPr>
            </w:pPr>
          </w:p>
        </w:tc>
        <w:tc>
          <w:tcPr>
            <w:tcW w:w="162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05AB86">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其中：1.上级资金</w:t>
            </w:r>
          </w:p>
        </w:tc>
        <w:tc>
          <w:tcPr>
            <w:tcW w:w="4819"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059B5330">
            <w:pPr>
              <w:jc w:val="center"/>
              <w:rPr>
                <w:rFonts w:ascii="宋体" w:eastAsia="宋体" w:hAnsi="宋体" w:cs="宋体" w:hint="eastAsia"/>
                <w:i w:val="0"/>
                <w:iCs w:val="0"/>
                <w:color w:val="000000"/>
                <w:sz w:val="20"/>
                <w:szCs w:val="20"/>
                <w:u w:val="none"/>
              </w:rPr>
            </w:pPr>
          </w:p>
        </w:tc>
      </w:tr>
      <w:tr w14:paraId="4D4AE6D7">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093D70">
            <w:pPr>
              <w:jc w:val="center"/>
              <w:rPr>
                <w:rFonts w:ascii="宋体" w:eastAsia="宋体" w:hAnsi="宋体" w:cs="宋体" w:hint="eastAsia"/>
                <w:i w:val="0"/>
                <w:iCs w:val="0"/>
                <w:color w:val="000000"/>
                <w:sz w:val="20"/>
                <w:szCs w:val="20"/>
                <w:u w:val="none"/>
              </w:rPr>
            </w:pPr>
          </w:p>
        </w:tc>
        <w:tc>
          <w:tcPr>
            <w:tcW w:w="162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07640CF">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 xml:space="preserve">      2.地方资金</w:t>
            </w:r>
          </w:p>
        </w:tc>
        <w:tc>
          <w:tcPr>
            <w:tcW w:w="4819"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068FE8E6">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99.11</w:t>
            </w:r>
          </w:p>
        </w:tc>
      </w:tr>
      <w:tr w14:paraId="2CB04D6A">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C9A987">
            <w:pPr>
              <w:jc w:val="center"/>
              <w:rPr>
                <w:rFonts w:ascii="宋体" w:eastAsia="宋体" w:hAnsi="宋体" w:cs="宋体" w:hint="eastAsia"/>
                <w:i w:val="0"/>
                <w:iCs w:val="0"/>
                <w:color w:val="000000"/>
                <w:sz w:val="20"/>
                <w:szCs w:val="20"/>
                <w:u w:val="none"/>
              </w:rPr>
            </w:pPr>
          </w:p>
        </w:tc>
        <w:tc>
          <w:tcPr>
            <w:tcW w:w="162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4BCA436">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 xml:space="preserve">      3.其他资金</w:t>
            </w:r>
          </w:p>
        </w:tc>
        <w:tc>
          <w:tcPr>
            <w:tcW w:w="4819"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FB645DC">
            <w:pPr>
              <w:jc w:val="center"/>
              <w:rPr>
                <w:rFonts w:ascii="宋体" w:eastAsia="宋体" w:hAnsi="宋体" w:cs="宋体" w:hint="eastAsia"/>
                <w:i w:val="0"/>
                <w:iCs w:val="0"/>
                <w:color w:val="000000"/>
                <w:sz w:val="20"/>
                <w:szCs w:val="20"/>
                <w:u w:val="none"/>
              </w:rPr>
            </w:pPr>
          </w:p>
        </w:tc>
      </w:tr>
      <w:tr w14:paraId="046B3A3E">
        <w:tblPrEx>
          <w:tblW w:w="8540" w:type="dxa"/>
          <w:tblInd w:w="93" w:type="dxa"/>
          <w:shd w:val="clear" w:color="auto" w:fill="auto"/>
        </w:tblPrEx>
        <w:trPr>
          <w:trHeight w:val="2912"/>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0B4583">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绩效目标</w:t>
            </w:r>
          </w:p>
        </w:tc>
        <w:tc>
          <w:tcPr>
            <w:tcW w:w="6441"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238C4D74">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目标1：确保县委机关高效有序运转，为领导决策提供有力保证，居民水平稳步提高，社会发展和谐稳定，民主法治深入人心，生态优势更加突显；目标2：确保应急工作处理及时、最大程度地减少损失，维护社会稳定；目标3：确保全县文件、信息工作的安全性、准确性、及时性；目标4：确保全县会议系统正常使用及畅通；目标5：确保全县无失泄密事件发生；目标6：确保县委政策能够得到及时有效地传达、贯彻、落实；目标7：确保会议文件按有关规定精减发文，严控滥发文件；目标8：确保机要、保密、调研、档案法规、督察等各项工作顺利、高效完成。</w:t>
            </w:r>
          </w:p>
        </w:tc>
      </w:tr>
      <w:tr w14:paraId="1DE7B4F7">
        <w:tblPrEx>
          <w:tblW w:w="8540" w:type="dxa"/>
          <w:tblInd w:w="93" w:type="dxa"/>
          <w:shd w:val="clear" w:color="auto" w:fill="auto"/>
        </w:tblPrEx>
        <w:trPr>
          <w:trHeight w:val="419"/>
        </w:trPr>
        <w:tc>
          <w:tcPr>
            <w:tcW w:w="209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E90ADA5">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绩</w:t>
            </w:r>
            <w:r>
              <w:rPr>
                <w:rFonts w:ascii="宋体" w:eastAsia="宋体" w:hAnsi="宋体" w:cs="宋体" w:hint="eastAsia"/>
                <w:i w:val="0"/>
                <w:iCs w:val="0"/>
                <w:color w:val="000000"/>
                <w:kern w:val="0"/>
                <w:sz w:val="20"/>
                <w:szCs w:val="20"/>
                <w:u w:val="none"/>
                <w:lang w:val="en-US" w:eastAsia="zh-CN" w:bidi="ar"/>
              </w:rPr>
              <w:br/>
            </w:r>
            <w:r>
              <w:rPr>
                <w:rFonts w:ascii="宋体" w:eastAsia="宋体" w:hAnsi="宋体" w:cs="宋体" w:hint="eastAsia"/>
                <w:i w:val="0"/>
                <w:iCs w:val="0"/>
                <w:color w:val="000000"/>
                <w:kern w:val="0"/>
                <w:sz w:val="20"/>
                <w:szCs w:val="20"/>
                <w:u w:val="none"/>
                <w:lang w:val="en-US" w:eastAsia="zh-CN" w:bidi="ar"/>
              </w:rPr>
              <w:t>效</w:t>
            </w:r>
            <w:r>
              <w:rPr>
                <w:rFonts w:ascii="宋体" w:eastAsia="宋体" w:hAnsi="宋体" w:cs="宋体" w:hint="eastAsia"/>
                <w:i w:val="0"/>
                <w:iCs w:val="0"/>
                <w:color w:val="000000"/>
                <w:kern w:val="0"/>
                <w:sz w:val="20"/>
                <w:szCs w:val="20"/>
                <w:u w:val="none"/>
                <w:lang w:val="en-US" w:eastAsia="zh-CN" w:bidi="ar"/>
              </w:rPr>
              <w:br/>
            </w:r>
            <w:r>
              <w:rPr>
                <w:rFonts w:ascii="宋体" w:eastAsia="宋体" w:hAnsi="宋体" w:cs="宋体" w:hint="eastAsia"/>
                <w:i w:val="0"/>
                <w:iCs w:val="0"/>
                <w:color w:val="000000"/>
                <w:kern w:val="0"/>
                <w:sz w:val="20"/>
                <w:szCs w:val="20"/>
                <w:u w:val="none"/>
                <w:lang w:val="en-US" w:eastAsia="zh-CN" w:bidi="ar"/>
              </w:rPr>
              <w:t>指</w:t>
            </w:r>
            <w:r>
              <w:rPr>
                <w:rFonts w:ascii="宋体" w:eastAsia="宋体" w:hAnsi="宋体" w:cs="宋体" w:hint="eastAsia"/>
                <w:i w:val="0"/>
                <w:iCs w:val="0"/>
                <w:color w:val="000000"/>
                <w:kern w:val="0"/>
                <w:sz w:val="20"/>
                <w:szCs w:val="20"/>
                <w:u w:val="none"/>
                <w:lang w:val="en-US" w:eastAsia="zh-CN" w:bidi="ar"/>
              </w:rPr>
              <w:br/>
            </w:r>
            <w:r>
              <w:rPr>
                <w:rFonts w:ascii="宋体" w:eastAsia="宋体" w:hAnsi="宋体" w:cs="宋体" w:hint="eastAsia"/>
                <w:i w:val="0"/>
                <w:iCs w:val="0"/>
                <w:color w:val="000000"/>
                <w:kern w:val="0"/>
                <w:sz w:val="20"/>
                <w:szCs w:val="20"/>
                <w:u w:val="none"/>
                <w:lang w:val="en-US" w:eastAsia="zh-CN" w:bidi="ar"/>
              </w:rPr>
              <w:t>标</w:t>
            </w:r>
          </w:p>
        </w:tc>
        <w:tc>
          <w:tcPr>
            <w:tcW w:w="162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AD73894">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一级指标</w:t>
            </w: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AFF3BC">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二级指标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3640AEDE">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三级指标</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763BF1">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指标值</w:t>
            </w:r>
          </w:p>
        </w:tc>
      </w:tr>
      <w:tr w14:paraId="26E13A6C">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6802C09">
            <w:pPr>
              <w:jc w:val="center"/>
              <w:rPr>
                <w:rFonts w:ascii="宋体" w:eastAsia="宋体" w:hAnsi="宋体" w:cs="宋体" w:hint="eastAsia"/>
                <w:i w:val="0"/>
                <w:iCs w:val="0"/>
                <w:color w:val="000000"/>
                <w:sz w:val="20"/>
                <w:szCs w:val="20"/>
                <w:u w:val="none"/>
              </w:rPr>
            </w:pPr>
          </w:p>
        </w:tc>
        <w:tc>
          <w:tcPr>
            <w:tcW w:w="162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4492A59">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产出指标</w:t>
            </w:r>
          </w:p>
        </w:tc>
        <w:tc>
          <w:tcPr>
            <w:tcW w:w="1094" w:type="dxa"/>
            <w:vMerge w:val="restart"/>
            <w:tcBorders>
              <w:top w:val="single" w:sz="4" w:space="0" w:color="000000"/>
              <w:left w:val="single" w:sz="4" w:space="0" w:color="000000"/>
              <w:bottom w:val="nil"/>
              <w:right w:val="single" w:sz="4" w:space="0" w:color="000000"/>
            </w:tcBorders>
            <w:shd w:val="clear" w:color="auto" w:fill="FFFFFF"/>
            <w:vAlign w:val="center"/>
          </w:tcPr>
          <w:p w14:paraId="04F4C23D">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数量指标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4AC2785B">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办理省委、市委、县委网上留言</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63675A">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≥300条</w:t>
            </w:r>
          </w:p>
        </w:tc>
      </w:tr>
      <w:tr w14:paraId="02E393B1">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56A045">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2C22420">
            <w:pPr>
              <w:jc w:val="center"/>
              <w:rPr>
                <w:rFonts w:ascii="宋体" w:eastAsia="宋体" w:hAnsi="宋体" w:cs="宋体" w:hint="eastAsia"/>
                <w:i w:val="0"/>
                <w:iCs w:val="0"/>
                <w:color w:val="000000"/>
                <w:sz w:val="20"/>
                <w:szCs w:val="20"/>
                <w:u w:val="none"/>
              </w:rPr>
            </w:pPr>
          </w:p>
        </w:tc>
        <w:tc>
          <w:tcPr>
            <w:tcW w:w="1094" w:type="dxa"/>
            <w:vMerge/>
            <w:tcBorders>
              <w:top w:val="single" w:sz="4" w:space="0" w:color="000000"/>
              <w:left w:val="single" w:sz="4" w:space="0" w:color="000000"/>
              <w:bottom w:val="nil"/>
              <w:right w:val="single" w:sz="4" w:space="0" w:color="000000"/>
            </w:tcBorders>
            <w:shd w:val="clear" w:color="auto" w:fill="FFFFFF"/>
            <w:vAlign w:val="center"/>
          </w:tcPr>
          <w:p w14:paraId="24A0C2DA">
            <w:pPr>
              <w:jc w:val="center"/>
              <w:rPr>
                <w:rFonts w:ascii="宋体" w:eastAsia="宋体" w:hAnsi="宋体" w:cs="宋体" w:hint="eastAsia"/>
                <w:i w:val="0"/>
                <w:iCs w:val="0"/>
                <w:color w:val="000000"/>
                <w:sz w:val="20"/>
                <w:szCs w:val="20"/>
                <w:u w:val="none"/>
              </w:rPr>
            </w:pP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42A54BB6">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办理领导批示</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A61ED1">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≥500件</w:t>
            </w:r>
          </w:p>
        </w:tc>
      </w:tr>
      <w:tr w14:paraId="573DEC33">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5B814B6">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A07DDC3">
            <w:pPr>
              <w:jc w:val="center"/>
              <w:rPr>
                <w:rFonts w:ascii="宋体" w:eastAsia="宋体" w:hAnsi="宋体" w:cs="宋体" w:hint="eastAsia"/>
                <w:i w:val="0"/>
                <w:iCs w:val="0"/>
                <w:color w:val="000000"/>
                <w:sz w:val="20"/>
                <w:szCs w:val="20"/>
                <w:u w:val="none"/>
              </w:rPr>
            </w:pPr>
          </w:p>
        </w:tc>
        <w:tc>
          <w:tcPr>
            <w:tcW w:w="1094" w:type="dxa"/>
            <w:vMerge/>
            <w:tcBorders>
              <w:top w:val="single" w:sz="4" w:space="0" w:color="000000"/>
              <w:left w:val="single" w:sz="4" w:space="0" w:color="000000"/>
              <w:bottom w:val="nil"/>
              <w:right w:val="single" w:sz="4" w:space="0" w:color="000000"/>
            </w:tcBorders>
            <w:shd w:val="clear" w:color="auto" w:fill="FFFFFF"/>
            <w:vAlign w:val="center"/>
          </w:tcPr>
          <w:p w14:paraId="0B91DD79">
            <w:pPr>
              <w:jc w:val="center"/>
              <w:rPr>
                <w:rFonts w:ascii="宋体" w:eastAsia="宋体" w:hAnsi="宋体" w:cs="宋体" w:hint="eastAsia"/>
                <w:i w:val="0"/>
                <w:iCs w:val="0"/>
                <w:color w:val="000000"/>
                <w:sz w:val="20"/>
                <w:szCs w:val="20"/>
                <w:u w:val="none"/>
              </w:rPr>
            </w:pP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48D77E9C">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督办督查</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520C79">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≥30次</w:t>
            </w:r>
          </w:p>
        </w:tc>
      </w:tr>
      <w:tr w14:paraId="6053B1AE">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2CFA08A">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029FE23">
            <w:pPr>
              <w:jc w:val="center"/>
              <w:rPr>
                <w:rFonts w:ascii="宋体" w:eastAsia="宋体" w:hAnsi="宋体" w:cs="宋体" w:hint="eastAsia"/>
                <w:i w:val="0"/>
                <w:iCs w:val="0"/>
                <w:color w:val="000000"/>
                <w:sz w:val="20"/>
                <w:szCs w:val="20"/>
                <w:u w:val="none"/>
              </w:rPr>
            </w:pPr>
          </w:p>
        </w:tc>
        <w:tc>
          <w:tcPr>
            <w:tcW w:w="1094" w:type="dxa"/>
            <w:vMerge/>
            <w:tcBorders>
              <w:top w:val="single" w:sz="4" w:space="0" w:color="000000"/>
              <w:left w:val="single" w:sz="4" w:space="0" w:color="000000"/>
              <w:bottom w:val="nil"/>
              <w:right w:val="single" w:sz="4" w:space="0" w:color="000000"/>
            </w:tcBorders>
            <w:shd w:val="clear" w:color="auto" w:fill="FFFFFF"/>
            <w:vAlign w:val="center"/>
          </w:tcPr>
          <w:p w14:paraId="3B2B4AD8">
            <w:pPr>
              <w:jc w:val="center"/>
              <w:rPr>
                <w:rFonts w:ascii="宋体" w:eastAsia="宋体" w:hAnsi="宋体" w:cs="宋体" w:hint="eastAsia"/>
                <w:i w:val="0"/>
                <w:iCs w:val="0"/>
                <w:color w:val="000000"/>
                <w:sz w:val="20"/>
                <w:szCs w:val="20"/>
                <w:u w:val="none"/>
              </w:rPr>
            </w:pP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5CDAA4D9">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处理信访事件</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2A5499">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≥15次</w:t>
            </w:r>
          </w:p>
        </w:tc>
      </w:tr>
      <w:tr w14:paraId="7F94192D">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5A0B175">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2A883B6">
            <w:pPr>
              <w:jc w:val="center"/>
              <w:rPr>
                <w:rFonts w:ascii="宋体" w:eastAsia="宋体" w:hAnsi="宋体" w:cs="宋体" w:hint="eastAsia"/>
                <w:i w:val="0"/>
                <w:iCs w:val="0"/>
                <w:color w:val="000000"/>
                <w:sz w:val="20"/>
                <w:szCs w:val="20"/>
                <w:u w:val="none"/>
              </w:rPr>
            </w:pPr>
          </w:p>
        </w:tc>
        <w:tc>
          <w:tcPr>
            <w:tcW w:w="1094" w:type="dxa"/>
            <w:vMerge/>
            <w:tcBorders>
              <w:top w:val="single" w:sz="4" w:space="0" w:color="000000"/>
              <w:left w:val="single" w:sz="4" w:space="0" w:color="000000"/>
              <w:bottom w:val="nil"/>
              <w:right w:val="single" w:sz="4" w:space="0" w:color="000000"/>
            </w:tcBorders>
            <w:shd w:val="clear" w:color="auto" w:fill="FFFFFF"/>
            <w:vAlign w:val="center"/>
          </w:tcPr>
          <w:p w14:paraId="61C9494E">
            <w:pPr>
              <w:jc w:val="center"/>
              <w:rPr>
                <w:rFonts w:ascii="宋体" w:eastAsia="宋体" w:hAnsi="宋体" w:cs="宋体" w:hint="eastAsia"/>
                <w:i w:val="0"/>
                <w:iCs w:val="0"/>
                <w:color w:val="000000"/>
                <w:sz w:val="20"/>
                <w:szCs w:val="20"/>
                <w:u w:val="none"/>
              </w:rPr>
            </w:pP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0157B12F">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召开筹备县委常委会、项目调度会等重要会议</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5A4635">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≥50次</w:t>
            </w:r>
          </w:p>
        </w:tc>
      </w:tr>
      <w:tr w14:paraId="1B3F6C91">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7C4C6F4">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135FAE">
            <w:pPr>
              <w:jc w:val="center"/>
              <w:rPr>
                <w:rFonts w:ascii="宋体" w:eastAsia="宋体" w:hAnsi="宋体" w:cs="宋体" w:hint="eastAsia"/>
                <w:i w:val="0"/>
                <w:iCs w:val="0"/>
                <w:color w:val="000000"/>
                <w:sz w:val="20"/>
                <w:szCs w:val="20"/>
                <w:u w:val="none"/>
              </w:rPr>
            </w:pPr>
          </w:p>
        </w:tc>
        <w:tc>
          <w:tcPr>
            <w:tcW w:w="1094" w:type="dxa"/>
            <w:vMerge/>
            <w:tcBorders>
              <w:top w:val="single" w:sz="4" w:space="0" w:color="000000"/>
              <w:left w:val="single" w:sz="4" w:space="0" w:color="000000"/>
              <w:bottom w:val="nil"/>
              <w:right w:val="single" w:sz="4" w:space="0" w:color="000000"/>
            </w:tcBorders>
            <w:shd w:val="clear" w:color="auto" w:fill="FFFFFF"/>
            <w:vAlign w:val="center"/>
          </w:tcPr>
          <w:p w14:paraId="22577830">
            <w:pPr>
              <w:jc w:val="center"/>
              <w:rPr>
                <w:rFonts w:ascii="宋体" w:eastAsia="宋体" w:hAnsi="宋体" w:cs="宋体" w:hint="eastAsia"/>
                <w:i w:val="0"/>
                <w:iCs w:val="0"/>
                <w:color w:val="000000"/>
                <w:sz w:val="20"/>
                <w:szCs w:val="20"/>
                <w:u w:val="none"/>
              </w:rPr>
            </w:pP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6621F806">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向中央、省、市上报信息指标</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AF911B">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≥500条</w:t>
            </w:r>
          </w:p>
        </w:tc>
      </w:tr>
      <w:tr w14:paraId="469F6880">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BBD41B2">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59A170B">
            <w:pPr>
              <w:jc w:val="center"/>
              <w:rPr>
                <w:rFonts w:ascii="宋体" w:eastAsia="宋体" w:hAnsi="宋体" w:cs="宋体" w:hint="eastAsia"/>
                <w:i w:val="0"/>
                <w:iCs w:val="0"/>
                <w:color w:val="000000"/>
                <w:sz w:val="20"/>
                <w:szCs w:val="20"/>
                <w:u w:val="none"/>
              </w:rPr>
            </w:pPr>
          </w:p>
        </w:tc>
        <w:tc>
          <w:tcPr>
            <w:tcW w:w="1094" w:type="dxa"/>
            <w:vMerge/>
            <w:tcBorders>
              <w:top w:val="single" w:sz="4" w:space="0" w:color="000000"/>
              <w:left w:val="single" w:sz="4" w:space="0" w:color="000000"/>
              <w:bottom w:val="nil"/>
              <w:right w:val="single" w:sz="4" w:space="0" w:color="000000"/>
            </w:tcBorders>
            <w:shd w:val="clear" w:color="auto" w:fill="FFFFFF"/>
            <w:vAlign w:val="center"/>
          </w:tcPr>
          <w:p w14:paraId="37695169">
            <w:pPr>
              <w:jc w:val="center"/>
              <w:rPr>
                <w:rFonts w:ascii="宋体" w:eastAsia="宋体" w:hAnsi="宋体" w:cs="宋体" w:hint="eastAsia"/>
                <w:i w:val="0"/>
                <w:iCs w:val="0"/>
                <w:color w:val="000000"/>
                <w:sz w:val="20"/>
                <w:szCs w:val="20"/>
                <w:u w:val="none"/>
              </w:rPr>
            </w:pP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17223B31">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乡镇调研</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AD2553">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≥30次</w:t>
            </w:r>
          </w:p>
        </w:tc>
      </w:tr>
      <w:tr w14:paraId="7D95269B">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E507C0C">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5376C74">
            <w:pPr>
              <w:jc w:val="center"/>
              <w:rPr>
                <w:rFonts w:ascii="宋体" w:eastAsia="宋体" w:hAnsi="宋体" w:cs="宋体" w:hint="eastAsia"/>
                <w:i w:val="0"/>
                <w:iCs w:val="0"/>
                <w:color w:val="000000"/>
                <w:sz w:val="20"/>
                <w:szCs w:val="20"/>
                <w:u w:val="none"/>
              </w:rPr>
            </w:pP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0798F6">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质量指标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35F572ED">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业务工作实际目标</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F254CC">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≥98%</w:t>
            </w:r>
          </w:p>
        </w:tc>
      </w:tr>
      <w:tr w14:paraId="3B53B9EC">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82C7EAF">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5A4B8AC">
            <w:pPr>
              <w:jc w:val="center"/>
              <w:rPr>
                <w:rFonts w:ascii="宋体" w:eastAsia="宋体" w:hAnsi="宋体" w:cs="宋体" w:hint="eastAsia"/>
                <w:i w:val="0"/>
                <w:iCs w:val="0"/>
                <w:color w:val="000000"/>
                <w:sz w:val="20"/>
                <w:szCs w:val="20"/>
                <w:u w:val="none"/>
              </w:rPr>
            </w:pP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8054FC">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时效指标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5264B93B">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资金到位时效</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D85E83">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≥98%</w:t>
            </w:r>
          </w:p>
        </w:tc>
      </w:tr>
      <w:tr w14:paraId="7092FDCF">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37CC96E">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6D89B81">
            <w:pPr>
              <w:jc w:val="center"/>
              <w:rPr>
                <w:rFonts w:ascii="宋体" w:eastAsia="宋体" w:hAnsi="宋体" w:cs="宋体" w:hint="eastAsia"/>
                <w:i w:val="0"/>
                <w:iCs w:val="0"/>
                <w:color w:val="000000"/>
                <w:sz w:val="20"/>
                <w:szCs w:val="20"/>
                <w:u w:val="none"/>
              </w:rPr>
            </w:pP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45378E">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成本指标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44118DD4">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县委办工作业务经费</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32D206">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=99.11万元</w:t>
            </w:r>
          </w:p>
        </w:tc>
      </w:tr>
      <w:tr w14:paraId="352BABDA">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E4CA75">
            <w:pPr>
              <w:jc w:val="center"/>
              <w:rPr>
                <w:rFonts w:ascii="宋体" w:eastAsia="宋体" w:hAnsi="宋体" w:cs="宋体" w:hint="eastAsia"/>
                <w:i w:val="0"/>
                <w:iCs w:val="0"/>
                <w:color w:val="000000"/>
                <w:sz w:val="20"/>
                <w:szCs w:val="20"/>
                <w:u w:val="none"/>
              </w:rPr>
            </w:pPr>
          </w:p>
        </w:tc>
        <w:tc>
          <w:tcPr>
            <w:tcW w:w="162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2408813">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效益指标</w:t>
            </w: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E631DC">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经济效益指标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7DB90EB7">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该指标不涉及</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93856D">
            <w:pPr>
              <w:jc w:val="center"/>
              <w:rPr>
                <w:rFonts w:ascii="宋体" w:eastAsia="宋体" w:hAnsi="宋体" w:cs="宋体" w:hint="eastAsia"/>
                <w:i w:val="0"/>
                <w:iCs w:val="0"/>
                <w:color w:val="000000"/>
                <w:sz w:val="20"/>
                <w:szCs w:val="20"/>
                <w:u w:val="none"/>
              </w:rPr>
            </w:pPr>
          </w:p>
        </w:tc>
      </w:tr>
      <w:tr w14:paraId="693EDE20">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65B3545">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853727B">
            <w:pPr>
              <w:jc w:val="center"/>
              <w:rPr>
                <w:rFonts w:ascii="宋体" w:eastAsia="宋体" w:hAnsi="宋体" w:cs="宋体" w:hint="eastAsia"/>
                <w:i w:val="0"/>
                <w:iCs w:val="0"/>
                <w:color w:val="000000"/>
                <w:sz w:val="20"/>
                <w:szCs w:val="20"/>
                <w:u w:val="none"/>
              </w:rPr>
            </w:pP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E7F5E1">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社会效益指标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71607DC2">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工作实绩</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2C3922">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≥98%</w:t>
            </w:r>
          </w:p>
        </w:tc>
      </w:tr>
      <w:tr w14:paraId="1A352B5E">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7DC790B">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EA0ABF1">
            <w:pPr>
              <w:jc w:val="center"/>
              <w:rPr>
                <w:rFonts w:ascii="宋体" w:eastAsia="宋体" w:hAnsi="宋体" w:cs="宋体" w:hint="eastAsia"/>
                <w:i w:val="0"/>
                <w:iCs w:val="0"/>
                <w:color w:val="000000"/>
                <w:sz w:val="20"/>
                <w:szCs w:val="20"/>
                <w:u w:val="none"/>
              </w:rPr>
            </w:pP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DA5D92">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生态效益指标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7CE9E9B7">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该指标不涉及</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396946">
            <w:pPr>
              <w:jc w:val="center"/>
              <w:rPr>
                <w:rFonts w:ascii="宋体" w:eastAsia="宋体" w:hAnsi="宋体" w:cs="宋体" w:hint="eastAsia"/>
                <w:i w:val="0"/>
                <w:iCs w:val="0"/>
                <w:color w:val="000000"/>
                <w:sz w:val="20"/>
                <w:szCs w:val="20"/>
                <w:u w:val="none"/>
              </w:rPr>
            </w:pPr>
          </w:p>
        </w:tc>
      </w:tr>
      <w:tr w14:paraId="09FE5823">
        <w:tblPrEx>
          <w:tblW w:w="8540" w:type="dxa"/>
          <w:tblInd w:w="93" w:type="dxa"/>
          <w:shd w:val="clear" w:color="auto" w:fill="auto"/>
        </w:tblPrEx>
        <w:trPr>
          <w:trHeight w:val="655"/>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101625C">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9D559CB">
            <w:pPr>
              <w:jc w:val="center"/>
              <w:rPr>
                <w:rFonts w:ascii="宋体" w:eastAsia="宋体" w:hAnsi="宋体" w:cs="宋体" w:hint="eastAsia"/>
                <w:i w:val="0"/>
                <w:iCs w:val="0"/>
                <w:color w:val="000000"/>
                <w:sz w:val="20"/>
                <w:szCs w:val="20"/>
                <w:u w:val="none"/>
              </w:rPr>
            </w:pPr>
          </w:p>
        </w:tc>
        <w:tc>
          <w:tcPr>
            <w:tcW w:w="10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681C92">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可持续影响指标</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4C154D0B">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该指标不涉及</w:t>
            </w:r>
          </w:p>
        </w:tc>
        <w:tc>
          <w:tcPr>
            <w:tcW w:w="134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ED1F02">
            <w:pPr>
              <w:jc w:val="center"/>
              <w:rPr>
                <w:rFonts w:ascii="宋体" w:eastAsia="宋体" w:hAnsi="宋体" w:cs="宋体" w:hint="eastAsia"/>
                <w:i w:val="0"/>
                <w:iCs w:val="0"/>
                <w:color w:val="000000"/>
                <w:sz w:val="20"/>
                <w:szCs w:val="20"/>
                <w:u w:val="none"/>
              </w:rPr>
            </w:pPr>
          </w:p>
        </w:tc>
      </w:tr>
      <w:tr w14:paraId="21ABB954">
        <w:tblPrEx>
          <w:tblW w:w="8540" w:type="dxa"/>
          <w:tblInd w:w="93" w:type="dxa"/>
          <w:shd w:val="clear" w:color="auto" w:fill="auto"/>
        </w:tblPrEx>
        <w:trPr>
          <w:trHeight w:val="332"/>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3E8452D">
            <w:pPr>
              <w:jc w:val="center"/>
              <w:rPr>
                <w:rFonts w:ascii="宋体" w:eastAsia="宋体" w:hAnsi="宋体" w:cs="宋体" w:hint="eastAsia"/>
                <w:i w:val="0"/>
                <w:iCs w:val="0"/>
                <w:color w:val="000000"/>
                <w:sz w:val="20"/>
                <w:szCs w:val="20"/>
                <w:u w:val="none"/>
              </w:rPr>
            </w:pPr>
          </w:p>
        </w:tc>
        <w:tc>
          <w:tcPr>
            <w:tcW w:w="1622"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C08C1E6">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满意度指标</w:t>
            </w:r>
          </w:p>
        </w:tc>
        <w:tc>
          <w:tcPr>
            <w:tcW w:w="109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8CFF609">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服务对象</w:t>
            </w:r>
            <w:r>
              <w:rPr>
                <w:rFonts w:ascii="宋体" w:eastAsia="宋体" w:hAnsi="宋体" w:cs="宋体" w:hint="eastAsia"/>
                <w:i w:val="0"/>
                <w:iCs w:val="0"/>
                <w:color w:val="000000"/>
                <w:kern w:val="0"/>
                <w:sz w:val="20"/>
                <w:szCs w:val="20"/>
                <w:u w:val="none"/>
                <w:lang w:val="en-US" w:eastAsia="zh-CN" w:bidi="ar"/>
              </w:rPr>
              <w:br/>
            </w:r>
            <w:r>
              <w:rPr>
                <w:rFonts w:ascii="宋体" w:eastAsia="宋体" w:hAnsi="宋体" w:cs="宋体" w:hint="eastAsia"/>
                <w:i w:val="0"/>
                <w:iCs w:val="0"/>
                <w:color w:val="000000"/>
                <w:kern w:val="0"/>
                <w:sz w:val="20"/>
                <w:szCs w:val="20"/>
                <w:u w:val="none"/>
                <w:lang w:val="en-US" w:eastAsia="zh-CN" w:bidi="ar"/>
              </w:rPr>
              <w:t>满意度指标</w:t>
            </w:r>
          </w:p>
        </w:tc>
        <w:tc>
          <w:tcPr>
            <w:tcW w:w="2376"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22A3F72">
            <w:pPr>
              <w:keepNext w:val="0"/>
              <w:keepLines w:val="0"/>
              <w:widowControl/>
              <w:suppressLineNumbers w:val="0"/>
              <w:jc w:val="left"/>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服务对象满意度</w:t>
            </w:r>
          </w:p>
        </w:tc>
        <w:tc>
          <w:tcPr>
            <w:tcW w:w="134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E0A9778">
            <w:pPr>
              <w:keepNext w:val="0"/>
              <w:keepLines w:val="0"/>
              <w:widowControl/>
              <w:suppressLineNumbers w:val="0"/>
              <w:jc w:val="center"/>
              <w:textAlignment w:val="center"/>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≥98%</w:t>
            </w:r>
          </w:p>
        </w:tc>
      </w:tr>
      <w:tr w14:paraId="437C8D6E">
        <w:tblPrEx>
          <w:tblW w:w="8540" w:type="dxa"/>
          <w:tblInd w:w="93" w:type="dxa"/>
          <w:shd w:val="clear" w:color="auto" w:fill="auto"/>
        </w:tblPrEx>
        <w:trPr>
          <w:trHeight w:val="644"/>
        </w:trPr>
        <w:tc>
          <w:tcPr>
            <w:tcW w:w="209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D6D8FF0">
            <w:pPr>
              <w:jc w:val="center"/>
              <w:rPr>
                <w:rFonts w:ascii="宋体" w:eastAsia="宋体" w:hAnsi="宋体" w:cs="宋体" w:hint="eastAsia"/>
                <w:i w:val="0"/>
                <w:iCs w:val="0"/>
                <w:color w:val="000000"/>
                <w:sz w:val="20"/>
                <w:szCs w:val="20"/>
                <w:u w:val="none"/>
              </w:rPr>
            </w:pPr>
          </w:p>
        </w:tc>
        <w:tc>
          <w:tcPr>
            <w:tcW w:w="1622"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957EEAD">
            <w:pPr>
              <w:jc w:val="center"/>
              <w:rPr>
                <w:rFonts w:ascii="宋体" w:eastAsia="宋体" w:hAnsi="宋体" w:cs="宋体" w:hint="eastAsia"/>
                <w:i w:val="0"/>
                <w:iCs w:val="0"/>
                <w:color w:val="000000"/>
                <w:sz w:val="20"/>
                <w:szCs w:val="20"/>
                <w:u w:val="none"/>
              </w:rPr>
            </w:pPr>
          </w:p>
        </w:tc>
        <w:tc>
          <w:tcPr>
            <w:tcW w:w="109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4D0B6DC">
            <w:pPr>
              <w:jc w:val="center"/>
              <w:rPr>
                <w:rFonts w:ascii="宋体" w:eastAsia="宋体" w:hAnsi="宋体" w:cs="宋体" w:hint="eastAsia"/>
                <w:i w:val="0"/>
                <w:iCs w:val="0"/>
                <w:color w:val="000000"/>
                <w:sz w:val="20"/>
                <w:szCs w:val="20"/>
                <w:u w:val="none"/>
              </w:rPr>
            </w:pPr>
          </w:p>
        </w:tc>
        <w:tc>
          <w:tcPr>
            <w:tcW w:w="2376"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8AD41C5">
            <w:pPr>
              <w:jc w:val="left"/>
              <w:rPr>
                <w:rFonts w:ascii="宋体" w:eastAsia="宋体" w:hAnsi="宋体" w:cs="宋体" w:hint="eastAsia"/>
                <w:i w:val="0"/>
                <w:iCs w:val="0"/>
                <w:color w:val="000000"/>
                <w:sz w:val="20"/>
                <w:szCs w:val="20"/>
                <w:u w:val="none"/>
              </w:rPr>
            </w:pPr>
          </w:p>
        </w:tc>
        <w:tc>
          <w:tcPr>
            <w:tcW w:w="134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B4CA5B">
            <w:pPr>
              <w:jc w:val="center"/>
              <w:rPr>
                <w:rFonts w:ascii="宋体" w:eastAsia="宋体" w:hAnsi="宋体" w:cs="宋体" w:hint="eastAsia"/>
                <w:i w:val="0"/>
                <w:iCs w:val="0"/>
                <w:color w:val="000000"/>
                <w:sz w:val="20"/>
                <w:szCs w:val="20"/>
                <w:u w:val="none"/>
              </w:rPr>
            </w:pPr>
          </w:p>
        </w:tc>
      </w:tr>
      <w:tr w14:paraId="62DC8EAC">
        <w:tblPrEx>
          <w:tblW w:w="8540" w:type="dxa"/>
          <w:tblInd w:w="93" w:type="dxa"/>
          <w:shd w:val="clear" w:color="auto" w:fill="auto"/>
        </w:tblPrEx>
        <w:trPr>
          <w:trHeight w:val="619"/>
        </w:trPr>
        <w:tc>
          <w:tcPr>
            <w:tcW w:w="0" w:type="auto"/>
            <w:tcBorders>
              <w:top w:val="nil"/>
              <w:left w:val="nil"/>
              <w:bottom w:val="nil"/>
              <w:right w:val="nil"/>
            </w:tcBorders>
            <w:shd w:val="clear" w:color="auto" w:fill="auto"/>
            <w:noWrap/>
            <w:vAlign w:val="bottom"/>
          </w:tcPr>
          <w:p w14:paraId="1CD5898C">
            <w:pPr>
              <w:keepNext w:val="0"/>
              <w:keepLines w:val="0"/>
              <w:widowControl/>
              <w:suppressLineNumbers w:val="0"/>
              <w:jc w:val="left"/>
              <w:textAlignment w:val="bottom"/>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单位负责人：李家明</w:t>
            </w:r>
          </w:p>
        </w:tc>
        <w:tc>
          <w:tcPr>
            <w:tcW w:w="0" w:type="auto"/>
            <w:tcBorders>
              <w:top w:val="nil"/>
              <w:left w:val="nil"/>
              <w:bottom w:val="nil"/>
              <w:right w:val="nil"/>
            </w:tcBorders>
            <w:shd w:val="clear" w:color="auto" w:fill="auto"/>
            <w:noWrap/>
            <w:vAlign w:val="bottom"/>
          </w:tcPr>
          <w:p w14:paraId="1E0463B5">
            <w:pPr>
              <w:rPr>
                <w:rFonts w:ascii="宋体" w:eastAsia="宋体" w:hAnsi="宋体" w:cs="宋体" w:hint="eastAsia"/>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7967164A">
            <w:pPr>
              <w:rPr>
                <w:rFonts w:ascii="宋体" w:eastAsia="宋体" w:hAnsi="宋体" w:cs="宋体" w:hint="eastAsia"/>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1D65DD27">
            <w:pPr>
              <w:rPr>
                <w:rFonts w:ascii="宋体" w:eastAsia="宋体" w:hAnsi="宋体" w:cs="宋体" w:hint="eastAsia"/>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203EE451">
            <w:pPr>
              <w:rPr>
                <w:rFonts w:ascii="宋体" w:eastAsia="宋体" w:hAnsi="宋体" w:cs="宋体" w:hint="eastAsia"/>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487AADA6">
            <w:pPr>
              <w:rPr>
                <w:rFonts w:ascii="宋体" w:eastAsia="宋体" w:hAnsi="宋体" w:cs="宋体" w:hint="eastAsia"/>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6B07654A">
            <w:pPr>
              <w:keepNext w:val="0"/>
              <w:keepLines w:val="0"/>
              <w:widowControl/>
              <w:suppressLineNumbers w:val="0"/>
              <w:jc w:val="left"/>
              <w:textAlignment w:val="bottom"/>
              <w:rPr>
                <w:rFonts w:ascii="宋体" w:eastAsia="宋体" w:hAnsi="宋体" w:cs="宋体"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经办人：刁琪琪</w:t>
            </w:r>
          </w:p>
        </w:tc>
        <w:tc>
          <w:tcPr>
            <w:tcW w:w="0" w:type="auto"/>
            <w:tcBorders>
              <w:top w:val="nil"/>
              <w:left w:val="nil"/>
              <w:bottom w:val="nil"/>
              <w:right w:val="nil"/>
            </w:tcBorders>
            <w:shd w:val="clear" w:color="auto" w:fill="auto"/>
            <w:noWrap/>
            <w:vAlign w:val="bottom"/>
          </w:tcPr>
          <w:p w14:paraId="43087BF9">
            <w:pPr>
              <w:rPr>
                <w:rFonts w:ascii="宋体" w:eastAsia="宋体" w:hAnsi="宋体" w:cs="宋体" w:hint="eastAsia"/>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115FDEAB">
            <w:pPr>
              <w:rPr>
                <w:rFonts w:ascii="宋体" w:eastAsia="宋体" w:hAnsi="宋体" w:cs="宋体" w:hint="eastAsia"/>
                <w:i w:val="0"/>
                <w:iCs w:val="0"/>
                <w:color w:val="000000"/>
                <w:sz w:val="20"/>
                <w:szCs w:val="20"/>
                <w:u w:val="none"/>
              </w:rPr>
            </w:pPr>
          </w:p>
        </w:tc>
      </w:tr>
    </w:tbl>
    <w:p w14:paraId="1842598C">
      <w:pPr>
        <w:adjustRightInd w:val="0"/>
        <w:snapToGrid w:val="0"/>
        <w:spacing w:line="600" w:lineRule="exact"/>
        <w:ind w:firstLine="640" w:firstLineChars="200"/>
        <w:rPr>
          <w:rFonts w:ascii="仿宋_GB2312" w:eastAsia="仿宋_GB2312" w:hAnsi="楷体" w:hint="eastAsia"/>
          <w:sz w:val="32"/>
          <w:szCs w:val="32"/>
        </w:rPr>
      </w:pPr>
    </w:p>
    <w:p w14:paraId="61A823F2">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（二）机关运行经费。</w:t>
      </w:r>
    </w:p>
    <w:p w14:paraId="644458B0">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kern w:val="0"/>
          <w:sz w:val="32"/>
          <w:szCs w:val="32"/>
          <w:lang w:eastAsia="zh-CN"/>
        </w:rPr>
        <w:t>中共寿县县委办公室</w:t>
      </w:r>
      <w:r>
        <w:rPr>
          <w:rFonts w:ascii="仿宋_GB2312" w:eastAsia="仿宋_GB2312" w:hAnsi="TimesNewRoman" w:cs="TimesNewRoman" w:hint="eastAsia"/>
          <w:sz w:val="32"/>
          <w:szCs w:val="32"/>
        </w:rPr>
        <w:t>2025年机关运行经费财政拨款预算</w:t>
      </w:r>
      <w:r>
        <w:rPr>
          <w:rFonts w:ascii="仿宋_GB2312" w:eastAsia="仿宋_GB2312" w:hAnsi="TimesNewRoman" w:cs="TimesNewRoman" w:hint="eastAsia"/>
          <w:sz w:val="32"/>
          <w:szCs w:val="32"/>
          <w:lang w:val="en-US" w:eastAsia="zh-CN"/>
        </w:rPr>
        <w:t>68.67</w:t>
      </w:r>
      <w:r>
        <w:rPr>
          <w:rFonts w:ascii="仿宋_GB2312" w:eastAsia="仿宋_GB2312" w:hAnsi="TimesNewRoman" w:cs="TimesNewRoman" w:hint="eastAsia"/>
          <w:sz w:val="32"/>
          <w:szCs w:val="32"/>
        </w:rPr>
        <w:t>万元，比2024年预算减少</w:t>
      </w:r>
      <w:r>
        <w:rPr>
          <w:rFonts w:ascii="仿宋_GB2312" w:eastAsia="仿宋_GB2312" w:hAnsi="TimesNewRoman" w:cs="TimesNewRoman" w:hint="eastAsia"/>
          <w:sz w:val="32"/>
          <w:szCs w:val="32"/>
          <w:lang w:val="en-US" w:eastAsia="zh-CN"/>
        </w:rPr>
        <w:t>7.7</w:t>
      </w:r>
      <w:r>
        <w:rPr>
          <w:rFonts w:ascii="仿宋_GB2312" w:eastAsia="仿宋_GB2312" w:hAnsi="TimesNewRoman" w:cs="TimesNewRoman" w:hint="eastAsia"/>
          <w:sz w:val="32"/>
          <w:szCs w:val="32"/>
        </w:rPr>
        <w:t>万元，下降</w:t>
      </w:r>
      <w:r>
        <w:rPr>
          <w:rFonts w:ascii="仿宋_GB2312" w:eastAsia="仿宋_GB2312" w:hAnsi="TimesNewRoman" w:cs="TimesNewRoman" w:hint="eastAsia"/>
          <w:sz w:val="32"/>
          <w:szCs w:val="32"/>
          <w:lang w:val="en-US" w:eastAsia="zh-CN"/>
        </w:rPr>
        <w:t>10.08</w:t>
      </w:r>
      <w:r>
        <w:rPr>
          <w:rFonts w:ascii="仿宋_GB2312" w:eastAsia="仿宋_GB2312" w:hAnsi="TimesNewRoman" w:cs="TimesNewRoman" w:hint="eastAsia"/>
          <w:sz w:val="32"/>
          <w:szCs w:val="32"/>
        </w:rPr>
        <w:t>%，下降主要原因是</w:t>
      </w:r>
      <w:r>
        <w:rPr>
          <w:rFonts w:ascii="仿宋_GB2312" w:eastAsia="仿宋_GB2312" w:hAnsi="TimesNewRoman" w:cs="TimesNewRoman" w:hint="eastAsia"/>
          <w:sz w:val="32"/>
          <w:szCs w:val="32"/>
          <w:lang w:val="en-US" w:eastAsia="zh-CN"/>
        </w:rPr>
        <w:t>单位人员减少，公用经费预算减少</w:t>
      </w:r>
      <w:r>
        <w:rPr>
          <w:rFonts w:ascii="仿宋_GB2312" w:eastAsia="仿宋_GB2312" w:hAnsi="TimesNewRoman" w:cs="TimesNewRoman" w:hint="eastAsia"/>
          <w:sz w:val="32"/>
          <w:szCs w:val="32"/>
        </w:rPr>
        <w:t>。</w:t>
      </w:r>
    </w:p>
    <w:p w14:paraId="05B3DEFF">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（三）政府采购情况。</w:t>
      </w:r>
    </w:p>
    <w:p w14:paraId="11DF9CE8">
      <w:pPr>
        <w:adjustRightInd w:val="0"/>
        <w:snapToGrid w:val="0"/>
        <w:spacing w:line="600" w:lineRule="exact"/>
        <w:ind w:firstLine="640" w:firstLineChars="200"/>
        <w:rPr>
          <w:rFonts w:ascii="仿宋" w:eastAsia="仿宋" w:hAnsi="仿宋" w:hint="eastAsia"/>
          <w:sz w:val="32"/>
          <w:szCs w:val="32"/>
        </w:rPr>
      </w:pPr>
      <w:r>
        <w:rPr>
          <w:rFonts w:ascii="仿宋" w:eastAsia="仿宋" w:hAnsi="仿宋" w:hint="eastAsia"/>
          <w:sz w:val="32"/>
          <w:szCs w:val="32"/>
        </w:rPr>
        <w:t>中共寿县县委办公室202</w:t>
      </w:r>
      <w:r>
        <w:rPr>
          <w:rFonts w:ascii="仿宋" w:eastAsia="仿宋" w:hAnsi="仿宋" w:hint="eastAsia"/>
          <w:sz w:val="32"/>
          <w:szCs w:val="32"/>
          <w:lang w:val="en-US" w:eastAsia="zh-CN"/>
        </w:rPr>
        <w:t>5</w:t>
      </w:r>
      <w:r>
        <w:rPr>
          <w:rFonts w:ascii="仿宋" w:eastAsia="仿宋" w:hAnsi="仿宋" w:hint="eastAsia"/>
          <w:sz w:val="32"/>
          <w:szCs w:val="32"/>
        </w:rPr>
        <w:t>年政府采购预算总额</w:t>
      </w:r>
      <w:r>
        <w:rPr>
          <w:rFonts w:ascii="仿宋" w:eastAsia="仿宋" w:hAnsi="仿宋" w:hint="eastAsia"/>
          <w:sz w:val="32"/>
          <w:szCs w:val="32"/>
          <w:lang w:val="en-US" w:eastAsia="zh-CN"/>
        </w:rPr>
        <w:t>1.92</w:t>
      </w:r>
      <w:r>
        <w:rPr>
          <w:rFonts w:ascii="仿宋" w:eastAsia="仿宋" w:hAnsi="仿宋" w:hint="eastAsia"/>
          <w:sz w:val="32"/>
          <w:szCs w:val="32"/>
        </w:rPr>
        <w:t>万元。其中：政府采购货物预算</w:t>
      </w:r>
      <w:r>
        <w:rPr>
          <w:rFonts w:ascii="仿宋" w:eastAsia="仿宋" w:hAnsi="仿宋" w:hint="eastAsia"/>
          <w:sz w:val="32"/>
          <w:szCs w:val="32"/>
          <w:lang w:val="en-US" w:eastAsia="zh-CN"/>
        </w:rPr>
        <w:t>1.92</w:t>
      </w:r>
      <w:r>
        <w:rPr>
          <w:rFonts w:ascii="仿宋" w:eastAsia="仿宋" w:hAnsi="仿宋" w:hint="eastAsia"/>
          <w:sz w:val="32"/>
          <w:szCs w:val="32"/>
        </w:rPr>
        <w:t>万元，政府采购工程预算0万元，政府采购服务预算0万元。</w:t>
      </w:r>
    </w:p>
    <w:p w14:paraId="1FCEF298">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（四）国有资产占有使用情况。</w:t>
      </w:r>
    </w:p>
    <w:p w14:paraId="5597A452">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截至2024年12月31日，</w:t>
      </w:r>
      <w:r>
        <w:rPr>
          <w:rFonts w:ascii="仿宋_GB2312" w:eastAsia="仿宋_GB2312" w:hAnsi="TimesNewRoman" w:cs="TimesNewRoman" w:hint="eastAsia"/>
          <w:kern w:val="0"/>
          <w:sz w:val="32"/>
          <w:szCs w:val="32"/>
          <w:lang w:eastAsia="zh-CN"/>
        </w:rPr>
        <w:t>中共寿县县委办公室</w:t>
      </w:r>
      <w:r>
        <w:rPr>
          <w:rFonts w:ascii="仿宋_GB2312" w:eastAsia="仿宋_GB2312" w:hAnsi="TimesNewRoman" w:cs="TimesNewRoman" w:hint="eastAsia"/>
          <w:sz w:val="32"/>
          <w:szCs w:val="32"/>
        </w:rPr>
        <w:t>共有车辆</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辆，其中：其他用车</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辆。单价50万元以上的通用设备</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台（套），单价100万元以上的专用设备</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台（套）。</w:t>
      </w:r>
    </w:p>
    <w:p w14:paraId="369D1C67">
      <w:pPr>
        <w:topLinePunct/>
        <w:adjustRightInd w:val="0"/>
        <w:snapToGrid w:val="0"/>
        <w:spacing w:line="560" w:lineRule="exact"/>
        <w:ind w:firstLine="640" w:firstLineChars="200"/>
        <w:rPr>
          <w:rFonts w:ascii="仿宋_GB2312" w:eastAsia="仿宋_GB2312" w:hAnsi="TimesNewRoman" w:cs="TimesNewRoman" w:hint="eastAsia"/>
          <w:sz w:val="32"/>
          <w:szCs w:val="32"/>
        </w:rPr>
      </w:pPr>
      <w:r>
        <w:rPr>
          <w:rFonts w:ascii="仿宋_GB2312" w:eastAsia="仿宋_GB2312" w:hAnsi="TimesNewRoman" w:cs="TimesNewRoman" w:hint="eastAsia"/>
          <w:sz w:val="32"/>
          <w:szCs w:val="32"/>
        </w:rPr>
        <w:t>2025年部门预算安排购置公务用车</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辆，购置费</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万元；安排购置单价50万元以上的通用设备</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台（套），购置费</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万元；安排购置单价100万元以上专用设备</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台（套），购置费</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p>
    <w:p w14:paraId="77F30943">
      <w:pPr>
        <w:topLinePunct/>
        <w:adjustRightInd w:val="0"/>
        <w:snapToGrid w:val="0"/>
        <w:spacing w:line="560" w:lineRule="exact"/>
        <w:ind w:firstLine="640" w:firstLineChars="200"/>
        <w:rPr>
          <w:rFonts w:ascii="仿宋_GB2312" w:eastAsia="仿宋_GB2312" w:hAnsi="TimesNewRoman" w:cs="TimesNewRoman" w:hint="eastAsia"/>
          <w:b/>
          <w:sz w:val="32"/>
          <w:szCs w:val="32"/>
        </w:rPr>
      </w:pPr>
      <w:r>
        <w:rPr>
          <w:rFonts w:ascii="仿宋_GB2312" w:eastAsia="仿宋_GB2312" w:hAnsi="TimesNewRoman" w:cs="TimesNewRoman" w:hint="eastAsia"/>
          <w:b/>
          <w:sz w:val="32"/>
          <w:szCs w:val="32"/>
        </w:rPr>
        <w:t>（五）绩效目标设置情况。</w:t>
      </w:r>
    </w:p>
    <w:p w14:paraId="19808752">
      <w:pPr>
        <w:adjustRightInd w:val="0"/>
        <w:snapToGrid w:val="0"/>
        <w:spacing w:line="600" w:lineRule="exact"/>
        <w:ind w:firstLine="640" w:firstLineChars="200"/>
        <w:rPr>
          <w:rFonts w:ascii="仿宋" w:eastAsia="仿宋" w:hAnsi="仿宋" w:hint="eastAsia"/>
          <w:sz w:val="32"/>
          <w:szCs w:val="32"/>
        </w:rPr>
      </w:pPr>
      <w:r>
        <w:rPr>
          <w:rFonts w:ascii="仿宋_GB2312" w:eastAsia="仿宋_GB2312" w:hAnsi="TimesNewRoman" w:cs="TimesNewRoman" w:hint="eastAsia"/>
          <w:sz w:val="32"/>
          <w:szCs w:val="32"/>
        </w:rPr>
        <w:t>2025年，</w:t>
      </w:r>
      <w:r>
        <w:rPr>
          <w:rFonts w:ascii="仿宋_GB2312" w:eastAsia="仿宋_GB2312" w:hAnsi="TimesNewRoman" w:cs="TimesNewRoman" w:hint="eastAsia"/>
          <w:kern w:val="0"/>
          <w:sz w:val="32"/>
          <w:szCs w:val="32"/>
          <w:lang w:eastAsia="zh-CN"/>
        </w:rPr>
        <w:t>中共寿县县委办公室</w:t>
      </w:r>
      <w:r>
        <w:rPr>
          <w:rFonts w:ascii="仿宋_GB2312" w:eastAsia="仿宋_GB2312" w:hAnsi="TimesNewRoman" w:cs="TimesNewRoman" w:hint="eastAsia"/>
          <w:sz w:val="32"/>
          <w:szCs w:val="32"/>
          <w:lang w:val="en-US" w:eastAsia="zh-CN"/>
        </w:rPr>
        <w:t>1</w:t>
      </w:r>
      <w:r>
        <w:rPr>
          <w:rFonts w:ascii="仿宋_GB2312" w:eastAsia="仿宋_GB2312" w:hAnsi="TimesNewRoman" w:cs="TimesNewRoman" w:hint="eastAsia"/>
          <w:sz w:val="32"/>
          <w:szCs w:val="32"/>
        </w:rPr>
        <w:t>个项目实行了绩效目标管理，涉及一般公共预算当年财政拨款</w:t>
      </w:r>
      <w:r>
        <w:rPr>
          <w:rFonts w:ascii="仿宋_GB2312" w:eastAsia="仿宋_GB2312" w:hAnsi="TimesNewRoman" w:cs="TimesNewRoman" w:hint="eastAsia"/>
          <w:sz w:val="32"/>
          <w:szCs w:val="32"/>
          <w:lang w:val="en-US" w:eastAsia="zh-CN"/>
        </w:rPr>
        <w:t>99.11</w:t>
      </w:r>
      <w:r>
        <w:rPr>
          <w:rFonts w:ascii="仿宋_GB2312" w:eastAsia="仿宋_GB2312" w:hAnsi="TimesNewRoman" w:cs="TimesNewRoman" w:hint="eastAsia"/>
          <w:sz w:val="32"/>
          <w:szCs w:val="32"/>
        </w:rPr>
        <w:t>万元、政府性基金预算当年财政拨款</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万元、国有资本经营预算当年财政拨款</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万元、财政专户管理资金当年安排</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万元和单位资金当年安排</w:t>
      </w:r>
      <w:r>
        <w:rPr>
          <w:rFonts w:ascii="仿宋_GB2312" w:eastAsia="仿宋_GB2312" w:hAnsi="TimesNewRoman" w:cs="TimesNewRoman" w:hint="eastAsia"/>
          <w:sz w:val="32"/>
          <w:szCs w:val="32"/>
          <w:lang w:val="en-US" w:eastAsia="zh-CN"/>
        </w:rPr>
        <w:t>0</w:t>
      </w:r>
      <w:r>
        <w:rPr>
          <w:rFonts w:ascii="仿宋_GB2312" w:eastAsia="仿宋_GB2312" w:hAnsi="TimesNewRoman" w:cs="TimesNewRoman" w:hint="eastAsia"/>
          <w:sz w:val="32"/>
          <w:szCs w:val="32"/>
        </w:rPr>
        <w:t>万元。</w:t>
      </w:r>
      <w:r>
        <w:rPr>
          <w:rFonts w:ascii="仿宋" w:eastAsia="仿宋" w:hAnsi="仿宋" w:hint="eastAsia"/>
          <w:sz w:val="32"/>
          <w:szCs w:val="32"/>
        </w:rPr>
        <w:t>绩效目标实行单位自评。</w:t>
      </w:r>
    </w:p>
    <w:p w14:paraId="3828DB99">
      <w:pPr>
        <w:topLinePunct/>
        <w:adjustRightInd w:val="0"/>
        <w:snapToGrid w:val="0"/>
        <w:spacing w:line="560" w:lineRule="exact"/>
        <w:ind w:firstLine="640" w:firstLineChars="200"/>
        <w:rPr>
          <w:rFonts w:ascii="仿宋_GB2312" w:eastAsia="仿宋_GB2312" w:hAnsi="TimesNewRoman" w:cs="TimesNewRoman" w:hint="eastAsia"/>
          <w:sz w:val="32"/>
          <w:szCs w:val="32"/>
        </w:rPr>
      </w:pPr>
    </w:p>
    <w:p w14:paraId="0F3998CB">
      <w:pPr>
        <w:topLinePunct/>
        <w:adjustRightInd w:val="0"/>
        <w:snapToGrid w:val="0"/>
        <w:spacing w:line="560" w:lineRule="exact"/>
        <w:rPr>
          <w:rFonts w:ascii="TimesNewRoman" w:eastAsia="黑体" w:hAnsi="TimesNewRoman" w:cs="TimesNewRoman"/>
          <w:sz w:val="36"/>
          <w:szCs w:val="36"/>
        </w:rPr>
      </w:pPr>
    </w:p>
    <w:p w14:paraId="444DAB06">
      <w:pPr>
        <w:topLinePunct/>
        <w:adjustRightInd w:val="0"/>
        <w:snapToGrid w:val="0"/>
        <w:spacing w:line="560" w:lineRule="exact"/>
        <w:jc w:val="center"/>
        <w:rPr>
          <w:rFonts w:ascii="TimesNewRoman" w:eastAsia="黑体" w:hAnsi="TimesNewRoman" w:cs="TimesNewRoman"/>
          <w:sz w:val="36"/>
          <w:szCs w:val="36"/>
        </w:rPr>
      </w:pPr>
      <w:r>
        <w:rPr>
          <w:rFonts w:ascii="TimesNewRoman" w:eastAsia="黑体" w:hAnsi="TimesNewRoman" w:cs="TimesNewRoman"/>
          <w:sz w:val="36"/>
          <w:szCs w:val="36"/>
        </w:rPr>
        <w:t>第</w:t>
      </w:r>
      <w:r>
        <w:rPr>
          <w:rFonts w:ascii="TimesNewRoman" w:eastAsia="黑体" w:hAnsi="TimesNewRoman" w:cs="TimesNewRoman" w:hint="eastAsia"/>
          <w:sz w:val="36"/>
          <w:szCs w:val="36"/>
        </w:rPr>
        <w:t>三</w:t>
      </w:r>
      <w:r>
        <w:rPr>
          <w:rFonts w:ascii="TimesNewRoman" w:eastAsia="黑体" w:hAnsi="TimesNewRoman" w:cs="TimesNewRoman"/>
          <w:sz w:val="36"/>
          <w:szCs w:val="36"/>
        </w:rPr>
        <w:t>部分</w:t>
      </w:r>
      <w:r>
        <w:rPr>
          <w:rFonts w:ascii="TimesNewRoman" w:eastAsia="黑体" w:hAnsi="TimesNewRoman" w:cs="TimesNewRoman" w:hint="eastAsia"/>
          <w:sz w:val="36"/>
          <w:szCs w:val="36"/>
        </w:rPr>
        <w:t xml:space="preserve"> </w:t>
      </w:r>
      <w:r>
        <w:rPr>
          <w:rFonts w:ascii="TimesNewRoman" w:eastAsia="黑体" w:hAnsi="TimesNewRoman" w:cs="TimesNewRoman"/>
          <w:sz w:val="36"/>
          <w:szCs w:val="36"/>
        </w:rPr>
        <w:t>名词解释</w:t>
      </w:r>
    </w:p>
    <w:p w14:paraId="2E8328D9">
      <w:pPr>
        <w:topLinePunct/>
        <w:adjustRightInd w:val="0"/>
        <w:snapToGrid w:val="0"/>
        <w:spacing w:line="560" w:lineRule="exact"/>
        <w:rPr>
          <w:rFonts w:ascii="TimesNewRoman" w:eastAsia="黑体" w:hAnsi="TimesNewRoman" w:cs="TimesNewRoman"/>
          <w:szCs w:val="32"/>
        </w:rPr>
      </w:pPr>
    </w:p>
    <w:p w14:paraId="2B3653BE">
      <w:pPr>
        <w:topLinePunct/>
        <w:adjustRightInd w:val="0"/>
        <w:snapToGrid w:val="0"/>
        <w:spacing w:line="560" w:lineRule="exact"/>
        <w:ind w:firstLine="640" w:firstLineChars="200"/>
        <w:rPr>
          <w:rFonts w:ascii="TimesNewRoman" w:eastAsia="仿宋_GB2312" w:hAnsi="TimesNewRoman" w:cs="TimesNewRoman"/>
          <w:kern w:val="0"/>
          <w:sz w:val="32"/>
          <w:szCs w:val="32"/>
          <w:lang w:val="en-US" w:eastAsia="zh-CN" w:bidi="ar-SA"/>
        </w:rPr>
      </w:pPr>
      <w:r>
        <w:rPr>
          <w:rFonts w:ascii="TimesNewRoman" w:eastAsia="仿宋_GB2312" w:hAnsi="TimesNewRoman" w:cs="TimesNewRoman" w:hint="eastAsia"/>
          <w:kern w:val="0"/>
          <w:sz w:val="32"/>
          <w:szCs w:val="32"/>
          <w:lang w:val="en-US" w:eastAsia="zh-CN" w:bidi="ar-SA"/>
        </w:rPr>
        <w:t>一、财政拨款收入：</w:t>
      </w:r>
      <w:r>
        <w:rPr>
          <w:rFonts w:ascii="TimesNewRoman" w:eastAsia="仿宋_GB2312" w:hAnsi="TimesNewRoman" w:cs="TimesNewRoman"/>
          <w:kern w:val="0"/>
          <w:sz w:val="32"/>
          <w:szCs w:val="32"/>
          <w:lang w:val="en-US" w:eastAsia="zh-CN" w:bidi="ar-SA"/>
        </w:rPr>
        <w:t>指部门或单位从同级财政部门取得的财政预算资金。</w:t>
      </w:r>
    </w:p>
    <w:p w14:paraId="3028C4A1">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二、事业收入：指事业单位开展专业业务活动及辅助活动所取得的收入。</w:t>
      </w:r>
    </w:p>
    <w:p w14:paraId="5FDC044F">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三、财政专户管理资金：指按照非税收入管理相关规定，纳入财政专户管理的教育收费等。</w:t>
      </w:r>
    </w:p>
    <w:p w14:paraId="2B19248E">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四、事业单位经营收入：指事业单位在专业业务活动及其辅助活动之外开展非独立核算经营活动取得的收入。</w:t>
      </w:r>
    </w:p>
    <w:p w14:paraId="6AB03692">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五、附属单位上缴收入：本单位所属下级单位上缴给本单位的全部收入。</w:t>
      </w:r>
    </w:p>
    <w:p w14:paraId="7D1B5F26">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六、上年结转：指以前年度安排、结转到本年仍按原用途继续使用的资金。</w:t>
      </w:r>
    </w:p>
    <w:p w14:paraId="1493F88D">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七、结转下年：指以前年度预算安排、因客观条件发生变化无法按原计划实施，需以后年度按原用途继续使用的资金。</w:t>
      </w:r>
    </w:p>
    <w:p w14:paraId="4DE2F74B">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八、基本支出：指为保障机构正常运转、完成日常工作任务而发生的人员支出和公用支出。</w:t>
      </w:r>
    </w:p>
    <w:p w14:paraId="22E6B178">
      <w:pPr>
        <w:pStyle w:val="NormalWeb"/>
        <w:topLinePunct/>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九、项目支出：指在除基本支出之外的支出，主要用于完成特定的工作任务和事业发展目标。</w:t>
      </w:r>
      <w:r>
        <w:rPr>
          <w:rFonts w:ascii="TimesNewRoman" w:eastAsia="仿宋_GB2312" w:hAnsi="TimesNewRoman" w:cs="TimesNewRoman"/>
          <w:kern w:val="0"/>
          <w:sz w:val="32"/>
          <w:szCs w:val="32"/>
          <w:lang w:val="en-US" w:eastAsia="zh-CN" w:bidi="ar-SA"/>
        </w:rPr>
        <w:br/>
      </w:r>
      <w:r>
        <w:rPr>
          <w:rFonts w:ascii="TimesNewRoman" w:eastAsia="仿宋_GB2312" w:hAnsi="TimesNewRoman" w:cs="TimesNewRoman"/>
          <w:kern w:val="0"/>
          <w:sz w:val="32"/>
          <w:szCs w:val="32"/>
          <w:lang w:val="en-US" w:eastAsia="zh-CN" w:bidi="ar-SA"/>
        </w:rPr>
        <w:t xml:space="preserve">    十、机关运行经费: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14:paraId="615B705C">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kern w:val="0"/>
          <w:sz w:val="32"/>
          <w:szCs w:val="32"/>
          <w:lang w:val="en-US" w:eastAsia="zh-CN" w:bidi="ar-SA"/>
        </w:rPr>
      </w:pPr>
      <w:r>
        <w:rPr>
          <w:rFonts w:ascii="TimesNewRoman" w:eastAsia="仿宋_GB2312" w:hAnsi="TimesNewRoman" w:cs="TimesNewRoman"/>
          <w:kern w:val="0"/>
          <w:sz w:val="32"/>
          <w:szCs w:val="32"/>
          <w:lang w:val="en-US" w:eastAsia="zh-CN" w:bidi="ar-SA"/>
        </w:rPr>
        <w:t>十一、</w:t>
      </w:r>
      <w:r>
        <w:rPr>
          <w:rFonts w:ascii="TimesNewRoman" w:eastAsia="仿宋_GB2312" w:hAnsi="TimesNewRoman" w:cs="TimesNewRoman" w:hint="eastAsia"/>
          <w:kern w:val="0"/>
          <w:sz w:val="32"/>
          <w:szCs w:val="32"/>
          <w:lang w:val="en-US" w:eastAsia="zh-CN" w:bidi="ar-SA"/>
        </w:rPr>
        <w:t>科学技术支出</w:t>
      </w:r>
      <w:r>
        <w:rPr>
          <w:rFonts w:ascii="TimesNewRoman" w:eastAsia="仿宋_GB2312" w:hAnsi="TimesNewRoman" w:cs="TimesNewRoman"/>
          <w:kern w:val="0"/>
          <w:sz w:val="32"/>
          <w:szCs w:val="32"/>
          <w:lang w:val="en-US" w:eastAsia="zh-CN" w:bidi="ar-SA"/>
        </w:rPr>
        <w:t>（类）</w:t>
      </w:r>
      <w:r>
        <w:rPr>
          <w:rFonts w:ascii="TimesNewRoman" w:eastAsia="仿宋_GB2312" w:hAnsi="TimesNewRoman" w:cs="TimesNewRoman" w:hint="eastAsia"/>
          <w:kern w:val="0"/>
          <w:sz w:val="32"/>
          <w:szCs w:val="32"/>
          <w:lang w:val="en-US" w:eastAsia="zh-CN" w:bidi="ar-SA"/>
        </w:rPr>
        <w:t>科学技术普及</w:t>
      </w:r>
      <w:r>
        <w:rPr>
          <w:rFonts w:ascii="TimesNewRoman" w:eastAsia="仿宋_GB2312" w:hAnsi="TimesNewRoman" w:cs="TimesNewRoman"/>
          <w:kern w:val="0"/>
          <w:sz w:val="32"/>
          <w:szCs w:val="32"/>
          <w:lang w:val="en-US" w:eastAsia="zh-CN" w:bidi="ar-SA"/>
        </w:rPr>
        <w:t>（款）</w:t>
      </w:r>
      <w:r>
        <w:rPr>
          <w:rFonts w:ascii="TimesNewRoman" w:eastAsia="仿宋_GB2312" w:hAnsi="TimesNewRoman" w:cs="TimesNewRoman" w:hint="eastAsia"/>
          <w:kern w:val="0"/>
          <w:sz w:val="32"/>
          <w:szCs w:val="32"/>
          <w:lang w:val="en-US" w:eastAsia="zh-CN" w:bidi="ar-SA"/>
        </w:rPr>
        <w:t>机构运行（项）</w:t>
      </w:r>
      <w:r>
        <w:rPr>
          <w:rFonts w:ascii="TimesNewRoman" w:eastAsia="仿宋_GB2312" w:hAnsi="TimesNewRoman" w:cs="TimesNewRoman"/>
          <w:kern w:val="0"/>
          <w:sz w:val="32"/>
          <w:szCs w:val="32"/>
          <w:lang w:val="en-US" w:eastAsia="zh-CN" w:bidi="ar-SA"/>
        </w:rPr>
        <w:t>：反映</w:t>
      </w:r>
      <w:r>
        <w:rPr>
          <w:rFonts w:ascii="TimesNewRoman" w:eastAsia="仿宋_GB2312" w:hAnsi="TimesNewRoman" w:cs="TimesNewRoman" w:hint="eastAsia"/>
          <w:kern w:val="0"/>
          <w:sz w:val="32"/>
          <w:szCs w:val="32"/>
          <w:lang w:val="en-US" w:eastAsia="zh-CN" w:bidi="ar-SA"/>
        </w:rPr>
        <w:t>县科协</w:t>
      </w:r>
      <w:r>
        <w:rPr>
          <w:rFonts w:ascii="TimesNewRoman" w:eastAsia="仿宋_GB2312" w:hAnsi="TimesNewRoman" w:cs="TimesNewRoman"/>
          <w:kern w:val="0"/>
          <w:sz w:val="32"/>
          <w:szCs w:val="32"/>
          <w:lang w:val="en-US" w:eastAsia="zh-CN" w:bidi="ar-SA"/>
        </w:rPr>
        <w:t>用于</w:t>
      </w:r>
      <w:r>
        <w:rPr>
          <w:rFonts w:ascii="TimesNewRoman" w:eastAsia="仿宋_GB2312" w:hAnsi="TimesNewRoman" w:cs="TimesNewRoman" w:hint="eastAsia"/>
          <w:kern w:val="0"/>
          <w:sz w:val="32"/>
          <w:szCs w:val="32"/>
          <w:lang w:val="en-US" w:eastAsia="zh-CN" w:bidi="ar-SA"/>
        </w:rPr>
        <w:t>科普工作</w:t>
      </w:r>
      <w:r>
        <w:rPr>
          <w:rFonts w:ascii="TimesNewRoman" w:eastAsia="仿宋_GB2312" w:hAnsi="TimesNewRoman" w:cs="TimesNewRoman"/>
          <w:kern w:val="0"/>
          <w:sz w:val="32"/>
          <w:szCs w:val="32"/>
          <w:lang w:val="en-US" w:eastAsia="zh-CN" w:bidi="ar-SA"/>
        </w:rPr>
        <w:t>业务方面的支出。</w:t>
      </w:r>
    </w:p>
    <w:p w14:paraId="45240381">
      <w:pPr>
        <w:spacing w:line="560" w:lineRule="exact"/>
        <w:rPr>
          <w:rFonts w:ascii="TimesNewRoman" w:eastAsia="仿宋_GB2312" w:hAnsi="TimesNewRoman" w:cs="TimesNewRoman" w:hint="eastAsia"/>
          <w:kern w:val="0"/>
          <w:sz w:val="32"/>
          <w:szCs w:val="32"/>
          <w:lang w:val="en-US" w:eastAsia="zh-CN" w:bidi="ar-SA"/>
        </w:rPr>
      </w:pPr>
      <w:r>
        <w:rPr>
          <w:rFonts w:ascii="TimesNewRoman" w:eastAsia="仿宋_GB2312" w:hAnsi="TimesNewRoman" w:cs="TimesNewRoman" w:hint="eastAsia"/>
          <w:kern w:val="0"/>
          <w:sz w:val="32"/>
          <w:szCs w:val="32"/>
          <w:lang w:val="en-US" w:eastAsia="zh-CN" w:bidi="ar-SA"/>
        </w:rPr>
        <w:t xml:space="preserve">         </w:t>
      </w:r>
    </w:p>
    <w:p w14:paraId="598E474F">
      <w:pPr>
        <w:rPr>
          <w:rFonts w:ascii="TimesNewRoman" w:eastAsia="仿宋_GB2312" w:hAnsi="TimesNewRoman" w:cs="TimesNewRoman"/>
          <w:kern w:val="0"/>
          <w:sz w:val="32"/>
          <w:szCs w:val="32"/>
          <w:lang w:val="en-US" w:eastAsia="zh-CN" w:bidi="ar-SA"/>
        </w:rPr>
      </w:pPr>
    </w:p>
    <w:sectPr>
      <w:footerReference w:type="default" r:id="rId4"/>
      <w:pgSz w:w="11906" w:h="16838"/>
      <w:pgMar w:top="1928" w:right="1531" w:bottom="1814" w:left="1587"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TimesNewRoman">
    <w:altName w:val="Arial Unicode MS"/>
    <w:panose1 w:val="02020603050405020304"/>
    <w:charset w:val="00"/>
    <w:family w:val="auto"/>
    <w:pitch w:val="default"/>
    <w:sig w:usb0="00000000" w:usb1="00000000" w:usb2="00000029" w:usb3="00000000" w:csb0="600001FF" w:csb1="FFFF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394B01CA">
    <w:pPr>
      <w:pStyle w:val="Footer"/>
      <w:ind w:right="180"/>
      <w:jc w:val="right"/>
    </w:pPr>
    <w:r>
      <w:rPr>
        <w:rFonts w:ascii="宋体" w:hAnsi="宋体" w:hint="eastAsia"/>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9</w:t>
    </w:r>
    <w:r>
      <w:rPr>
        <w:sz w:val="28"/>
        <w:szCs w:val="28"/>
      </w:rPr>
      <w:fldChar w:fldCharType="end"/>
    </w:r>
    <w:r>
      <w:rPr>
        <w:rFonts w:hint="eastAsia"/>
        <w:sz w:val="28"/>
        <w:szCs w:val="28"/>
      </w:rPr>
      <w:t xml:space="preserve"> </w:t>
    </w:r>
    <w:r>
      <w:rPr>
        <w:rFonts w:ascii="宋体" w:hAnsi="宋体" w:hint="eastAsia"/>
        <w:sz w:val="28"/>
        <w:szCs w:val="28"/>
      </w:rPr>
      <w:t xml:space="preserve">— </w:t>
    </w:r>
  </w:p>
  <w:p w14:paraId="7E26900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F4405"/>
    <w:rsid w:val="285E10C3"/>
    <w:rsid w:val="3B0F4405"/>
    <w:rsid w:val="3D70539A"/>
    <w:rsid w:val="485E53E8"/>
    <w:rsid w:val="5F0756A6"/>
    <w:rsid w:val="6ED43C20"/>
    <w:rsid w:val="6EF443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Ind w:w="0" w:type="dxa"/>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szCs w:val="18"/>
    </w:rPr>
  </w:style>
  <w:style w:type="paragraph" w:styleId="NormalWeb">
    <w:name w:val="Normal (Web)"/>
    <w:basedOn w:val="Normal"/>
    <w:qFormat/>
    <w:pPr>
      <w:spacing w:beforeAutospacing="1" w:afterAutospacing="1"/>
      <w:jc w:val="left"/>
    </w:pPr>
    <w:rPr>
      <w:rFonts w:ascii="Calibri" w:hAnsi="Calibri"/>
      <w:kern w:val="0"/>
      <w:sz w:val="24"/>
    </w:rPr>
  </w:style>
  <w:style w:type="character" w:styleId="Strong">
    <w:name w:val="Strong"/>
    <w:basedOn w:val="DefaultParagraphFont"/>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4325</Words>
  <Characters>4786</Characters>
  <Application>Microsoft Office Word</Application>
  <DocSecurity>0</DocSecurity>
  <Lines>0</Lines>
  <Paragraphs>0</Paragraphs>
  <ScaleCrop>false</ScaleCrop>
  <Company/>
  <LinksUpToDate>false</LinksUpToDate>
  <CharactersWithSpaces>4824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二蛋</cp:lastModifiedBy>
  <cp:revision>1</cp:revision>
  <dcterms:created xsi:type="dcterms:W3CDTF">2025-01-11T13:48:00Z</dcterms:created>
  <dcterms:modified xsi:type="dcterms:W3CDTF">2025-01-24T06:39:09Z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4F8BBAA136154AEFA6C6BE4B78A7DA3B_13</vt:lpwstr>
  </property>
  <property fmtid="{D5CDD505-2E9C-101B-9397-08002B2CF9AE}" pid="3" name="KSOProductBuildVer">
    <vt:lpwstr>2052-12.1.0.19770</vt:lpwstr>
  </property>
  <property fmtid="{D5CDD505-2E9C-101B-9397-08002B2CF9AE}" pid="4" name="KSOTemplateDocerSaveRecord">
    <vt:lpwstr>eyJoZGlkIjoiOWEzZDE1OWU2MmFkMjBmNDRmM2Y4ZDkzOWNiMTQ2MmMiLCJ1c2VySWQiOiI2MTk5NjkxNDAifQ==</vt:lpwstr>
  </property>
</Properties>
</file>