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NewRoman" w:hAnsi="TimesNewRoman" w:eastAsia="黑体" w:cs="TimesNewRoman"/>
          <w:szCs w:val="32"/>
        </w:rPr>
      </w:pPr>
    </w:p>
    <w:p>
      <w:pPr>
        <w:spacing w:line="560" w:lineRule="exact"/>
        <w:jc w:val="center"/>
        <w:rPr>
          <w:rFonts w:ascii="方正小标宋_GBK" w:hAnsi="TimesNewRoman" w:eastAsia="方正小标宋_GBK" w:cs="TimesNewRoman"/>
          <w:szCs w:val="32"/>
        </w:rPr>
      </w:pPr>
    </w:p>
    <w:p>
      <w:pPr>
        <w:spacing w:line="560" w:lineRule="exact"/>
        <w:jc w:val="center"/>
        <w:rPr>
          <w:rFonts w:ascii="方正小标宋_GBK" w:hAnsi="TimesNewRoman" w:eastAsia="方正小标宋_GBK" w:cs="TimesNewRoman"/>
          <w:b/>
          <w:sz w:val="52"/>
          <w:szCs w:val="44"/>
        </w:rPr>
      </w:pPr>
      <w:r>
        <w:rPr>
          <w:rFonts w:hint="eastAsia" w:ascii="方正小标宋_GBK" w:hAnsi="TimesNewRoman" w:eastAsia="方正小标宋_GBK" w:cs="TimesNewRoman"/>
          <w:b/>
          <w:sz w:val="52"/>
          <w:szCs w:val="44"/>
        </w:rPr>
        <w:t>寿县人大常委会办公室2024年</w:t>
      </w:r>
    </w:p>
    <w:p>
      <w:pPr>
        <w:spacing w:line="560" w:lineRule="exact"/>
        <w:jc w:val="center"/>
        <w:rPr>
          <w:rFonts w:ascii="方正小标宋_GBK" w:hAnsi="TimesNewRoman" w:eastAsia="方正小标宋_GBK" w:cs="TimesNewRoman"/>
          <w:b/>
          <w:sz w:val="52"/>
          <w:szCs w:val="44"/>
        </w:rPr>
      </w:pPr>
    </w:p>
    <w:p>
      <w:pPr>
        <w:spacing w:line="560" w:lineRule="exact"/>
        <w:jc w:val="center"/>
        <w:rPr>
          <w:rFonts w:ascii="TimesNewRoman" w:hAnsi="TimesNewRoman" w:eastAsia="黑体" w:cs="TimesNewRoman"/>
          <w:b/>
          <w:bCs/>
          <w:sz w:val="44"/>
          <w:szCs w:val="36"/>
        </w:rPr>
      </w:pPr>
      <w:r>
        <w:rPr>
          <w:rFonts w:hint="eastAsia" w:ascii="方正小标宋_GBK" w:hAnsi="TimesNewRoman" w:eastAsia="方正小标宋_GBK" w:cs="TimesNewRoman"/>
          <w:b/>
          <w:sz w:val="52"/>
          <w:szCs w:val="44"/>
        </w:rPr>
        <w:t>部门预算</w:t>
      </w:r>
    </w:p>
    <w:p>
      <w:pPr>
        <w:pStyle w:val="4"/>
        <w:adjustRightInd w:val="0"/>
        <w:snapToGrid w:val="0"/>
        <w:spacing w:line="560" w:lineRule="exact"/>
        <w:jc w:val="center"/>
        <w:rPr>
          <w:rFonts w:ascii="TimesNewRoman" w:hAnsi="TimesNewRoman" w:eastAsia="黑体" w:cs="TimesNewRoman"/>
          <w:bCs/>
          <w:sz w:val="36"/>
          <w:szCs w:val="36"/>
        </w:rPr>
      </w:pPr>
    </w:p>
    <w:p>
      <w:pPr>
        <w:pStyle w:val="4"/>
        <w:adjustRightInd w:val="0"/>
        <w:snapToGrid w:val="0"/>
        <w:spacing w:line="560" w:lineRule="exact"/>
        <w:jc w:val="center"/>
        <w:rPr>
          <w:rFonts w:ascii="TimesNewRoman" w:hAnsi="TimesNewRoman" w:eastAsia="黑体" w:cs="TimesNewRoman"/>
          <w:bCs/>
          <w:sz w:val="36"/>
          <w:szCs w:val="36"/>
        </w:rPr>
      </w:pPr>
    </w:p>
    <w:p>
      <w:pPr>
        <w:pStyle w:val="4"/>
        <w:adjustRightInd w:val="0"/>
        <w:snapToGrid w:val="0"/>
        <w:spacing w:line="560" w:lineRule="exact"/>
        <w:jc w:val="center"/>
        <w:rPr>
          <w:rFonts w:ascii="TimesNewRoman" w:hAnsi="TimesNewRoman" w:eastAsia="黑体" w:cs="TimesNewRoman"/>
          <w:bCs/>
          <w:sz w:val="36"/>
          <w:szCs w:val="36"/>
        </w:rPr>
      </w:pPr>
    </w:p>
    <w:p>
      <w:pPr>
        <w:pStyle w:val="4"/>
        <w:adjustRightInd w:val="0"/>
        <w:snapToGrid w:val="0"/>
        <w:spacing w:line="560" w:lineRule="exact"/>
        <w:jc w:val="center"/>
        <w:rPr>
          <w:rFonts w:ascii="TimesNewRoman" w:hAnsi="TimesNewRoman" w:eastAsia="黑体" w:cs="TimesNewRoman"/>
          <w:bCs/>
          <w:sz w:val="36"/>
          <w:szCs w:val="36"/>
        </w:rPr>
      </w:pPr>
    </w:p>
    <w:p>
      <w:pPr>
        <w:pStyle w:val="4"/>
        <w:adjustRightInd w:val="0"/>
        <w:snapToGrid w:val="0"/>
        <w:spacing w:line="560" w:lineRule="exact"/>
        <w:jc w:val="center"/>
        <w:rPr>
          <w:rFonts w:ascii="TimesNewRoman" w:hAnsi="TimesNewRoman" w:eastAsia="黑体" w:cs="TimesNewRoman"/>
          <w:bCs/>
          <w:sz w:val="36"/>
          <w:szCs w:val="36"/>
        </w:rPr>
      </w:pPr>
    </w:p>
    <w:p>
      <w:pPr>
        <w:pStyle w:val="4"/>
        <w:adjustRightInd w:val="0"/>
        <w:snapToGrid w:val="0"/>
        <w:spacing w:line="560" w:lineRule="exact"/>
        <w:jc w:val="center"/>
        <w:rPr>
          <w:rFonts w:ascii="TimesNewRoman" w:hAnsi="TimesNewRoman" w:eastAsia="黑体" w:cs="TimesNewRoman"/>
          <w:bCs/>
          <w:sz w:val="32"/>
          <w:szCs w:val="32"/>
        </w:rPr>
      </w:pPr>
    </w:p>
    <w:p>
      <w:pPr>
        <w:pStyle w:val="4"/>
        <w:adjustRightInd w:val="0"/>
        <w:snapToGrid w:val="0"/>
        <w:spacing w:line="560" w:lineRule="exact"/>
        <w:jc w:val="center"/>
        <w:rPr>
          <w:rFonts w:ascii="仿宋_GB2312" w:hAnsi="TimesNewRoman" w:eastAsia="仿宋_GB2312" w:cs="TimesNewRoman"/>
          <w:bCs/>
          <w:sz w:val="32"/>
          <w:szCs w:val="32"/>
        </w:rPr>
      </w:pPr>
    </w:p>
    <w:p>
      <w:pPr>
        <w:pStyle w:val="4"/>
        <w:adjustRightInd w:val="0"/>
        <w:snapToGrid w:val="0"/>
        <w:spacing w:line="560" w:lineRule="exact"/>
        <w:jc w:val="center"/>
        <w:rPr>
          <w:rFonts w:ascii="仿宋_GB2312" w:hAnsi="TimesNewRoman" w:eastAsia="仿宋_GB2312" w:cs="TimesNewRoman"/>
          <w:bCs/>
          <w:sz w:val="36"/>
          <w:szCs w:val="32"/>
        </w:rPr>
      </w:pPr>
    </w:p>
    <w:p>
      <w:pPr>
        <w:pStyle w:val="4"/>
        <w:adjustRightInd w:val="0"/>
        <w:snapToGrid w:val="0"/>
        <w:spacing w:line="560" w:lineRule="exact"/>
        <w:jc w:val="center"/>
        <w:rPr>
          <w:rFonts w:ascii="仿宋_GB2312" w:hAnsi="TimesNewRoman" w:eastAsia="仿宋_GB2312" w:cs="TimesNewRoman"/>
          <w:bCs/>
          <w:sz w:val="36"/>
          <w:szCs w:val="32"/>
        </w:rPr>
      </w:pPr>
    </w:p>
    <w:p>
      <w:pPr>
        <w:pStyle w:val="4"/>
        <w:adjustRightInd w:val="0"/>
        <w:snapToGrid w:val="0"/>
        <w:spacing w:line="560" w:lineRule="exact"/>
        <w:jc w:val="center"/>
        <w:rPr>
          <w:rFonts w:ascii="仿宋_GB2312" w:hAnsi="TimesNewRoman" w:eastAsia="仿宋_GB2312" w:cs="TimesNewRoman"/>
          <w:b/>
          <w:bCs/>
          <w:sz w:val="44"/>
          <w:szCs w:val="32"/>
        </w:rPr>
      </w:pPr>
    </w:p>
    <w:p>
      <w:pPr>
        <w:pStyle w:val="4"/>
        <w:adjustRightInd w:val="0"/>
        <w:snapToGrid w:val="0"/>
        <w:spacing w:line="560" w:lineRule="exact"/>
        <w:jc w:val="center"/>
        <w:rPr>
          <w:rFonts w:ascii="仿宋_GB2312" w:hAnsi="TimesNewRoman" w:eastAsia="仿宋_GB2312" w:cs="TimesNewRoman"/>
          <w:b/>
          <w:bCs/>
          <w:sz w:val="44"/>
          <w:szCs w:val="32"/>
        </w:rPr>
      </w:pPr>
      <w:r>
        <w:rPr>
          <w:rFonts w:hint="eastAsia" w:ascii="仿宋_GB2312" w:hAnsi="TimesNewRoman" w:eastAsia="仿宋_GB2312" w:cs="TimesNewRoman"/>
          <w:b/>
          <w:bCs/>
          <w:sz w:val="44"/>
          <w:szCs w:val="32"/>
        </w:rPr>
        <w:t>2024年</w:t>
      </w:r>
      <w:r>
        <w:rPr>
          <w:rFonts w:ascii="仿宋_GB2312" w:hAnsi="TimesNewRoman" w:eastAsia="仿宋_GB2312" w:cs="TimesNewRoman"/>
          <w:b/>
          <w:bCs/>
          <w:sz w:val="44"/>
          <w:szCs w:val="32"/>
        </w:rPr>
        <w:t>1</w:t>
      </w:r>
      <w:r>
        <w:rPr>
          <w:rFonts w:hint="eastAsia" w:ascii="仿宋_GB2312" w:hAnsi="TimesNewRoman" w:eastAsia="仿宋_GB2312" w:cs="TimesNewRoman"/>
          <w:b/>
          <w:bCs/>
          <w:sz w:val="44"/>
          <w:szCs w:val="32"/>
        </w:rPr>
        <w:t>月</w:t>
      </w:r>
    </w:p>
    <w:p>
      <w:pPr>
        <w:pStyle w:val="4"/>
        <w:adjustRightInd w:val="0"/>
        <w:snapToGrid w:val="0"/>
        <w:spacing w:line="560" w:lineRule="exact"/>
        <w:jc w:val="center"/>
        <w:rPr>
          <w:rFonts w:ascii="方正小标宋_GBK" w:hAnsi="TimesNewRoman" w:eastAsia="方正小标宋_GBK" w:cs="TimesNewRoman"/>
          <w:bCs/>
          <w:sz w:val="44"/>
          <w:szCs w:val="44"/>
        </w:rPr>
      </w:pPr>
      <w:r>
        <w:rPr>
          <w:rFonts w:hint="eastAsia" w:ascii="方正小标宋_GBK" w:hAnsi="TimesNewRoman" w:eastAsia="方正小标宋_GBK" w:cs="TimesNewRoman"/>
          <w:bCs/>
          <w:sz w:val="44"/>
          <w:szCs w:val="44"/>
        </w:rPr>
        <w:t>目  录</w:t>
      </w:r>
    </w:p>
    <w:p>
      <w:pPr>
        <w:pStyle w:val="4"/>
        <w:topLinePunct/>
        <w:adjustRightInd w:val="0"/>
        <w:snapToGrid w:val="0"/>
        <w:spacing w:beforeAutospacing="0" w:afterAutospacing="0" w:line="560" w:lineRule="exact"/>
        <w:ind w:firstLine="640" w:firstLineChars="200"/>
        <w:jc w:val="both"/>
        <w:rPr>
          <w:rFonts w:ascii="黑体" w:hAnsi="黑体" w:eastAsia="黑体" w:cs="TimesNewRoman"/>
          <w:sz w:val="32"/>
          <w:szCs w:val="32"/>
        </w:rPr>
      </w:pPr>
    </w:p>
    <w:p>
      <w:pPr>
        <w:pStyle w:val="4"/>
        <w:topLinePunct/>
        <w:adjustRightInd w:val="0"/>
        <w:snapToGrid w:val="0"/>
        <w:spacing w:beforeAutospacing="0" w:afterAutospacing="0" w:line="560" w:lineRule="exact"/>
        <w:ind w:firstLine="720" w:firstLineChars="200"/>
        <w:jc w:val="both"/>
        <w:rPr>
          <w:rFonts w:ascii="黑体" w:hAnsi="黑体" w:eastAsia="黑体" w:cs="TimesNewRoman"/>
          <w:b/>
          <w:sz w:val="36"/>
          <w:szCs w:val="32"/>
        </w:rPr>
      </w:pPr>
      <w:r>
        <w:rPr>
          <w:rFonts w:ascii="黑体" w:hAnsi="黑体" w:eastAsia="黑体" w:cs="TimesNewRoman"/>
          <w:b/>
          <w:sz w:val="36"/>
          <w:szCs w:val="32"/>
        </w:rPr>
        <w:t>第一部分 部门概况</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hint="eastAsia" w:ascii="仿宋_GB2312" w:hAnsi="TimesNewRoman" w:eastAsia="仿宋_GB2312" w:cs="TimesNewRoman"/>
          <w:bCs/>
          <w:sz w:val="32"/>
          <w:szCs w:val="32"/>
        </w:rPr>
        <w:t>1.主要职责</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hint="eastAsia" w:ascii="仿宋_GB2312" w:hAnsi="TimesNewRoman" w:eastAsia="仿宋_GB2312" w:cs="TimesNewRoman"/>
          <w:bCs/>
          <w:sz w:val="32"/>
          <w:szCs w:val="32"/>
        </w:rPr>
        <w:t>2.部门预算构成</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hint="eastAsia" w:ascii="仿宋_GB2312" w:hAnsi="TimesNewRoman" w:eastAsia="仿宋_GB2312" w:cs="TimesNewRoman"/>
          <w:bCs/>
          <w:sz w:val="32"/>
          <w:szCs w:val="32"/>
        </w:rPr>
        <w:t>3.2024年度主要工作任务</w:t>
      </w:r>
    </w:p>
    <w:p>
      <w:pPr>
        <w:pStyle w:val="4"/>
        <w:topLinePunct/>
        <w:adjustRightInd w:val="0"/>
        <w:snapToGrid w:val="0"/>
        <w:spacing w:beforeAutospacing="0" w:afterAutospacing="0" w:line="560" w:lineRule="exact"/>
        <w:ind w:firstLine="720" w:firstLineChars="200"/>
        <w:jc w:val="both"/>
        <w:rPr>
          <w:rFonts w:ascii="黑体" w:hAnsi="黑体" w:eastAsia="黑体" w:cs="TimesNewRoman"/>
          <w:b/>
          <w:sz w:val="36"/>
          <w:szCs w:val="32"/>
        </w:rPr>
      </w:pPr>
      <w:r>
        <w:rPr>
          <w:rFonts w:ascii="黑体" w:hAnsi="黑体" w:eastAsia="黑体" w:cs="TimesNewRoman"/>
          <w:b/>
          <w:sz w:val="36"/>
          <w:szCs w:val="32"/>
        </w:rPr>
        <w:t xml:space="preserve">第二部分 </w:t>
      </w:r>
      <w:r>
        <w:rPr>
          <w:rFonts w:hint="eastAsia" w:ascii="黑体" w:hAnsi="黑体" w:eastAsia="黑体" w:cs="TimesNewRoman"/>
          <w:b/>
          <w:sz w:val="36"/>
          <w:szCs w:val="32"/>
        </w:rPr>
        <w:t>2024</w:t>
      </w:r>
      <w:r>
        <w:rPr>
          <w:rFonts w:ascii="黑体" w:hAnsi="黑体" w:eastAsia="黑体" w:cs="TimesNewRoman"/>
          <w:b/>
          <w:sz w:val="36"/>
          <w:szCs w:val="32"/>
        </w:rPr>
        <w:t>年部门预算表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年收支总表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2.</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年收入总表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3.</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年支出总表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4.</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年财政拨款收支总表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5.</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年一般公共预算支出表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6.</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年一般公共预算基本支出表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7.</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年政府性基金预算支出表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8.</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年国有资本经营预算支出表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9.</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年项目支出表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10.</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年政府采购支出表</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11.</w:t>
      </w:r>
      <w:r>
        <w:rPr>
          <w:rFonts w:hint="eastAsia" w:ascii="仿宋_GB2312" w:hAnsi="TimesNewRoman" w:eastAsia="仿宋_GB2312" w:cs="TimesNewRoman"/>
          <w:bCs/>
          <w:sz w:val="32"/>
          <w:szCs w:val="32"/>
        </w:rPr>
        <w:t xml:space="preserve"> 2024</w:t>
      </w:r>
      <w:r>
        <w:rPr>
          <w:rFonts w:ascii="仿宋_GB2312" w:hAnsi="TimesNewRoman" w:eastAsia="仿宋_GB2312" w:cs="TimesNewRoman"/>
          <w:bCs/>
          <w:sz w:val="32"/>
          <w:szCs w:val="32"/>
        </w:rPr>
        <w:t>年政府购买服务支出表</w:t>
      </w:r>
    </w:p>
    <w:p>
      <w:pPr>
        <w:pStyle w:val="4"/>
        <w:topLinePunct/>
        <w:adjustRightInd w:val="0"/>
        <w:snapToGrid w:val="0"/>
        <w:spacing w:beforeAutospacing="0" w:afterAutospacing="0" w:line="560" w:lineRule="exact"/>
        <w:ind w:firstLine="720" w:firstLineChars="200"/>
        <w:jc w:val="both"/>
        <w:rPr>
          <w:rFonts w:ascii="黑体" w:hAnsi="黑体" w:eastAsia="黑体" w:cs="TimesNewRoman"/>
          <w:b/>
          <w:sz w:val="36"/>
          <w:szCs w:val="32"/>
        </w:rPr>
      </w:pPr>
      <w:r>
        <w:rPr>
          <w:rFonts w:ascii="黑体" w:hAnsi="黑体" w:eastAsia="黑体" w:cs="TimesNewRoman"/>
          <w:b/>
          <w:sz w:val="36"/>
          <w:szCs w:val="32"/>
        </w:rPr>
        <w:t xml:space="preserve">第三部分 </w:t>
      </w:r>
      <w:r>
        <w:rPr>
          <w:rFonts w:hint="eastAsia" w:ascii="黑体" w:hAnsi="黑体" w:eastAsia="黑体" w:cs="TimesNewRoman"/>
          <w:b/>
          <w:sz w:val="36"/>
          <w:szCs w:val="32"/>
        </w:rPr>
        <w:t>2024</w:t>
      </w:r>
      <w:r>
        <w:rPr>
          <w:rFonts w:ascii="黑体" w:hAnsi="黑体" w:eastAsia="黑体" w:cs="TimesNewRoman"/>
          <w:b/>
          <w:sz w:val="36"/>
          <w:szCs w:val="32"/>
        </w:rPr>
        <w:t>年部门预算情况说明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年收支总表的说明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2.关于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年收入总表的说明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3.关于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年支出总表的说明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4.关于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年财政拨款收支总表的说明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5.关于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年一般公共预算支出表的说明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6.关于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年一般公共预算基本支出表的说明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7.关于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年政府性基金预算支出表的说明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8.关于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年国有资本经营预算支出表的说明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9.关于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年项目支出表的说明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10.关于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年政府采购支出表的说明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11.关于</w:t>
      </w:r>
      <w:r>
        <w:rPr>
          <w:rFonts w:hint="eastAsia" w:ascii="仿宋_GB2312" w:hAnsi="TimesNewRoman" w:eastAsia="仿宋_GB2312" w:cs="TimesNewRoman"/>
          <w:bCs/>
          <w:sz w:val="32"/>
          <w:szCs w:val="32"/>
        </w:rPr>
        <w:t>2024</w:t>
      </w:r>
      <w:r>
        <w:rPr>
          <w:rFonts w:ascii="仿宋_GB2312" w:hAnsi="TimesNewRoman" w:eastAsia="仿宋_GB2312" w:cs="TimesNewRoman"/>
          <w:bCs/>
          <w:sz w:val="32"/>
          <w:szCs w:val="32"/>
        </w:rPr>
        <w:t>年政府购买服务支出表的说明</w:t>
      </w:r>
    </w:p>
    <w:p>
      <w:pPr>
        <w:pStyle w:val="4"/>
        <w:topLinePunct/>
        <w:adjustRightInd w:val="0"/>
        <w:snapToGrid w:val="0"/>
        <w:spacing w:beforeAutospacing="0" w:afterAutospacing="0" w:line="560" w:lineRule="exact"/>
        <w:ind w:firstLine="640" w:firstLineChars="200"/>
        <w:jc w:val="both"/>
        <w:rPr>
          <w:rFonts w:ascii="仿宋_GB2312" w:hAnsi="TimesNewRoman" w:eastAsia="仿宋_GB2312" w:cs="TimesNewRoman"/>
          <w:bCs/>
          <w:sz w:val="32"/>
          <w:szCs w:val="32"/>
        </w:rPr>
      </w:pPr>
      <w:r>
        <w:rPr>
          <w:rFonts w:ascii="仿宋_GB2312" w:hAnsi="TimesNewRoman" w:eastAsia="仿宋_GB2312" w:cs="TimesNewRoman"/>
          <w:bCs/>
          <w:sz w:val="32"/>
          <w:szCs w:val="32"/>
        </w:rPr>
        <w:t>12.其他重要事项情况说明</w:t>
      </w:r>
    </w:p>
    <w:p>
      <w:pPr>
        <w:pStyle w:val="4"/>
        <w:topLinePunct/>
        <w:adjustRightInd w:val="0"/>
        <w:snapToGrid w:val="0"/>
        <w:spacing w:beforeAutospacing="0" w:afterAutospacing="0" w:line="560" w:lineRule="exact"/>
        <w:ind w:firstLine="720" w:firstLineChars="200"/>
        <w:jc w:val="both"/>
        <w:rPr>
          <w:rFonts w:ascii="黑体" w:hAnsi="黑体" w:eastAsia="黑体" w:cs="TimesNewRoman"/>
          <w:b/>
          <w:sz w:val="36"/>
          <w:szCs w:val="32"/>
        </w:rPr>
      </w:pPr>
      <w:r>
        <w:rPr>
          <w:rFonts w:ascii="黑体" w:hAnsi="黑体" w:eastAsia="黑体" w:cs="TimesNewRoman"/>
          <w:b/>
          <w:sz w:val="36"/>
          <w:szCs w:val="32"/>
        </w:rPr>
        <w:t>第四部分 名词解释</w:t>
      </w: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640" w:firstLineChars="200"/>
        <w:jc w:val="both"/>
        <w:rPr>
          <w:rFonts w:ascii="TimesNewRoman" w:hAnsi="TimesNewRoman" w:eastAsia="仿宋_GB2312" w:cs="TimesNewRoman"/>
          <w:b/>
          <w:sz w:val="32"/>
          <w:szCs w:val="32"/>
        </w:rPr>
      </w:pPr>
    </w:p>
    <w:p>
      <w:pPr>
        <w:pStyle w:val="4"/>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4"/>
        <w:topLinePunct/>
        <w:adjustRightInd w:val="0"/>
        <w:snapToGrid w:val="0"/>
        <w:spacing w:beforeAutospacing="0" w:afterAutospacing="0" w:line="560" w:lineRule="exact"/>
        <w:ind w:firstLine="200"/>
        <w:jc w:val="both"/>
        <w:rPr>
          <w:rFonts w:ascii="TimesNewRoman" w:hAnsi="TimesNewRoman" w:eastAsia="黑体" w:cs="TimesNewRoman"/>
          <w:bCs/>
          <w:sz w:val="36"/>
          <w:szCs w:val="36"/>
        </w:rPr>
      </w:pPr>
    </w:p>
    <w:p>
      <w:pPr>
        <w:pStyle w:val="4"/>
        <w:topLinePunct/>
        <w:adjustRightInd w:val="0"/>
        <w:snapToGrid w:val="0"/>
        <w:spacing w:beforeAutospacing="0" w:afterAutospacing="0" w:line="560" w:lineRule="exact"/>
        <w:jc w:val="center"/>
        <w:rPr>
          <w:rFonts w:ascii="TimesNewRoman" w:hAnsi="TimesNewRoman" w:eastAsia="黑体" w:cs="TimesNewRoman"/>
          <w:b/>
          <w:bCs/>
          <w:sz w:val="48"/>
          <w:szCs w:val="36"/>
        </w:rPr>
      </w:pPr>
      <w:r>
        <w:rPr>
          <w:rFonts w:ascii="TimesNewRoman" w:hAnsi="TimesNewRoman" w:eastAsia="黑体" w:cs="TimesNewRoman"/>
          <w:b/>
          <w:bCs/>
          <w:sz w:val="48"/>
          <w:szCs w:val="36"/>
        </w:rPr>
        <w:t>第一部分 部门概况</w:t>
      </w:r>
    </w:p>
    <w:p>
      <w:pPr>
        <w:pStyle w:val="4"/>
        <w:topLinePunct/>
        <w:adjustRightInd w:val="0"/>
        <w:snapToGrid w:val="0"/>
        <w:spacing w:beforeAutospacing="0" w:afterAutospacing="0" w:line="560" w:lineRule="exact"/>
        <w:ind w:firstLine="627" w:firstLineChars="196"/>
        <w:jc w:val="both"/>
        <w:rPr>
          <w:rFonts w:ascii="TimesNewRoman" w:hAnsi="TimesNewRoman" w:eastAsia="黑体" w:cs="TimesNewRoman"/>
          <w:bCs/>
          <w:sz w:val="32"/>
          <w:szCs w:val="32"/>
        </w:rPr>
      </w:pPr>
    </w:p>
    <w:p>
      <w:pPr>
        <w:pStyle w:val="4"/>
        <w:topLinePunct/>
        <w:adjustRightInd w:val="0"/>
        <w:snapToGrid w:val="0"/>
        <w:spacing w:beforeAutospacing="0" w:afterAutospacing="0" w:line="580" w:lineRule="exact"/>
        <w:ind w:firstLine="640" w:firstLineChars="200"/>
        <w:jc w:val="both"/>
        <w:rPr>
          <w:rFonts w:ascii="楷体_GB2312" w:hAnsi="TimesNewRoman" w:eastAsia="楷体_GB2312" w:cs="TimesNewRoman"/>
          <w:b/>
          <w:bCs/>
          <w:sz w:val="32"/>
          <w:szCs w:val="32"/>
        </w:rPr>
      </w:pPr>
      <w:r>
        <w:rPr>
          <w:rFonts w:hint="eastAsia" w:ascii="楷体_GB2312" w:hAnsi="TimesNewRoman" w:eastAsia="楷体_GB2312" w:cs="TimesNewRoman"/>
          <w:b/>
          <w:bCs/>
          <w:sz w:val="32"/>
          <w:szCs w:val="32"/>
        </w:rPr>
        <w:t>一、主要职责</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1.为“三会”服务，负责组织协调办理人大常委会、主任会交办的事项。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2.协调人大常委会机关与外部的联系，负责催办人大常委会、主任会交办的有关事项。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3.办理常委会人事任免事项，负责本机关人事管理。</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4.协调常委会组成人员，各工作委员会和人大代表进行视察、调查和检查。</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5.保持同人大代表的联系，做好人民来信来访工作。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6.负责办理上级人大常委会委托的其它工作。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7.负责起草文件，文书处理，收集整理信息。</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8.负责档案、资料管理和机要保密工作。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9.负责常委会机关行政事务管理和保卫工作。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10.负责机关老干部工作。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11.负责机关学习、党建、扶贫攻坚、社会治安综合治理、计划生育、精神文明建设、文体活动等。</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12.办理常委会领导交办的其它事项。</w:t>
      </w:r>
    </w:p>
    <w:p>
      <w:pPr>
        <w:spacing w:line="600" w:lineRule="exact"/>
        <w:ind w:firstLine="640" w:firstLineChars="200"/>
        <w:rPr>
          <w:rFonts w:asciiTheme="minorEastAsia" w:hAnsiTheme="minorEastAsia" w:eastAsiaTheme="minorEastAsia"/>
          <w:sz w:val="32"/>
          <w:szCs w:val="32"/>
        </w:rPr>
      </w:pPr>
    </w:p>
    <w:p>
      <w:pPr>
        <w:pStyle w:val="4"/>
        <w:topLinePunct/>
        <w:adjustRightInd w:val="0"/>
        <w:snapToGrid w:val="0"/>
        <w:spacing w:beforeAutospacing="0" w:afterAutospacing="0" w:line="580" w:lineRule="exact"/>
        <w:ind w:firstLine="640" w:firstLineChars="200"/>
        <w:jc w:val="both"/>
        <w:rPr>
          <w:rFonts w:ascii="楷体_GB2312" w:hAnsi="TimesNewRoman" w:eastAsia="楷体_GB2312" w:cs="TimesNewRoman"/>
          <w:b/>
          <w:bCs/>
          <w:sz w:val="32"/>
          <w:szCs w:val="32"/>
        </w:rPr>
      </w:pPr>
      <w:r>
        <w:rPr>
          <w:rFonts w:hint="eastAsia" w:ascii="楷体_GB2312" w:hAnsi="TimesNewRoman" w:eastAsia="楷体_GB2312" w:cs="TimesNewRoman"/>
          <w:b/>
          <w:bCs/>
          <w:sz w:val="32"/>
          <w:szCs w:val="32"/>
        </w:rPr>
        <w:t>二、</w:t>
      </w:r>
      <w:r>
        <w:rPr>
          <w:rFonts w:ascii="楷体_GB2312" w:hAnsi="TimesNewRoman" w:eastAsia="楷体_GB2312" w:cs="TimesNewRoman"/>
          <w:b/>
          <w:bCs/>
          <w:sz w:val="32"/>
          <w:szCs w:val="32"/>
        </w:rPr>
        <w:t>部门预算构成</w:t>
      </w:r>
    </w:p>
    <w:p>
      <w:pPr>
        <w:pStyle w:val="4"/>
        <w:adjustRightInd w:val="0"/>
        <w:snapToGrid w:val="0"/>
        <w:spacing w:beforeAutospacing="0" w:afterAutospacing="0" w:line="580" w:lineRule="exact"/>
        <w:ind w:firstLine="627" w:firstLineChars="196"/>
        <w:rPr>
          <w:rFonts w:asciiTheme="minorEastAsia" w:hAnsiTheme="minorEastAsia" w:eastAsiaTheme="minorEastAsia"/>
          <w:sz w:val="32"/>
          <w:szCs w:val="32"/>
        </w:rPr>
      </w:pPr>
      <w:r>
        <w:rPr>
          <w:rFonts w:hint="eastAsia" w:asciiTheme="minorEastAsia" w:hAnsiTheme="minorEastAsia" w:eastAsiaTheme="minorEastAsia"/>
          <w:sz w:val="32"/>
          <w:szCs w:val="32"/>
        </w:rPr>
        <w:t>从预算单位构成看，寿县人大常委会办公室2023年度部门预算仅包括本级预算，无其他下属单位预算。纳入部门预算编制范围的单位共1个，具体情况见下表。</w:t>
      </w:r>
    </w:p>
    <w:tbl>
      <w:tblPr>
        <w:tblStyle w:val="5"/>
        <w:tblW w:w="9000" w:type="dxa"/>
        <w:tblInd w:w="288" w:type="dxa"/>
        <w:shd w:val="clear" w:color="auto" w:fill="FFFFFF"/>
        <w:tblLayout w:type="fixed"/>
        <w:tblCellMar>
          <w:top w:w="0" w:type="dxa"/>
          <w:left w:w="0" w:type="dxa"/>
          <w:bottom w:w="0" w:type="dxa"/>
          <w:right w:w="0" w:type="dxa"/>
        </w:tblCellMar>
      </w:tblPr>
      <w:tblGrid>
        <w:gridCol w:w="900"/>
        <w:gridCol w:w="3600"/>
        <w:gridCol w:w="4500"/>
      </w:tblGrid>
      <w:tr>
        <w:tblPrEx>
          <w:shd w:val="clear" w:color="auto" w:fill="FFFFFF"/>
          <w:tblLayout w:type="fixed"/>
          <w:tblCellMar>
            <w:top w:w="0" w:type="dxa"/>
            <w:left w:w="0" w:type="dxa"/>
            <w:bottom w:w="0" w:type="dxa"/>
            <w:right w:w="0" w:type="dxa"/>
          </w:tblCellMar>
        </w:tblPrEx>
        <w:trPr>
          <w:trHeight w:val="643" w:hRule="exact"/>
        </w:trPr>
        <w:tc>
          <w:tcPr>
            <w:tcW w:w="90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序号</w:t>
            </w:r>
          </w:p>
        </w:tc>
        <w:tc>
          <w:tcPr>
            <w:tcW w:w="360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单位名称</w:t>
            </w:r>
          </w:p>
        </w:tc>
        <w:tc>
          <w:tcPr>
            <w:tcW w:w="4500" w:type="dxa"/>
            <w:tcBorders>
              <w:top w:val="single" w:color="auto" w:sz="8" w:space="0"/>
              <w:left w:val="nil"/>
              <w:bottom w:val="single" w:color="auto" w:sz="8" w:space="0"/>
              <w:right w:val="single" w:color="auto" w:sz="8" w:space="0"/>
            </w:tcBorders>
            <w:shd w:val="clear" w:color="auto" w:fill="FFFFFF"/>
          </w:tcPr>
          <w:p>
            <w:pPr>
              <w:adjustRightInd w:val="0"/>
              <w:snapToGrid w:val="0"/>
              <w:spacing w:line="580" w:lineRule="exact"/>
              <w:jc w:val="left"/>
              <w:rPr>
                <w:rFonts w:asciiTheme="minorEastAsia" w:hAnsiTheme="minorEastAsia" w:eastAsiaTheme="minorEastAsia"/>
                <w:sz w:val="32"/>
                <w:szCs w:val="32"/>
              </w:rPr>
            </w:pPr>
            <w:r>
              <w:rPr>
                <w:rFonts w:hint="eastAsia" w:asciiTheme="minorEastAsia" w:hAnsiTheme="minorEastAsia" w:eastAsiaTheme="minorEastAsia"/>
                <w:sz w:val="32"/>
                <w:szCs w:val="32"/>
              </w:rPr>
              <w:t>单位性质</w:t>
            </w:r>
          </w:p>
        </w:tc>
      </w:tr>
      <w:tr>
        <w:tblPrEx>
          <w:shd w:val="clear" w:color="auto" w:fill="FFFFFF"/>
          <w:tblLayout w:type="fixed"/>
          <w:tblCellMar>
            <w:top w:w="0" w:type="dxa"/>
            <w:left w:w="0" w:type="dxa"/>
            <w:bottom w:w="0" w:type="dxa"/>
            <w:right w:w="0" w:type="dxa"/>
          </w:tblCellMar>
        </w:tblPrEx>
        <w:trPr>
          <w:trHeight w:val="668" w:hRule="exact"/>
        </w:trPr>
        <w:tc>
          <w:tcPr>
            <w:tcW w:w="90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cs="宋体" w:asciiTheme="minorEastAsia" w:hAnsiTheme="minorEastAsia" w:eastAsiaTheme="minorEastAsia"/>
                <w:sz w:val="32"/>
                <w:szCs w:val="32"/>
              </w:rPr>
            </w:pPr>
            <w:r>
              <w:rPr>
                <w:rFonts w:hint="eastAsia" w:asciiTheme="minorEastAsia" w:hAnsiTheme="minorEastAsia" w:eastAsiaTheme="minorEastAsia"/>
                <w:sz w:val="32"/>
                <w:szCs w:val="32"/>
              </w:rPr>
              <w:t>1</w:t>
            </w:r>
          </w:p>
        </w:tc>
        <w:tc>
          <w:tcPr>
            <w:tcW w:w="360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adjustRightInd w:val="0"/>
              <w:snapToGrid w:val="0"/>
              <w:spacing w:line="580" w:lineRule="exact"/>
              <w:jc w:val="left"/>
              <w:rPr>
                <w:rFonts w:asciiTheme="minorEastAsia" w:hAnsiTheme="minorEastAsia" w:eastAsiaTheme="minorEastAsia"/>
                <w:sz w:val="32"/>
                <w:szCs w:val="32"/>
                <w:u w:val="single"/>
              </w:rPr>
            </w:pPr>
            <w:r>
              <w:rPr>
                <w:rFonts w:hint="eastAsia" w:cs="仿宋" w:asciiTheme="minorEastAsia" w:hAnsiTheme="minorEastAsia" w:eastAsiaTheme="minorEastAsia"/>
                <w:bCs/>
                <w:sz w:val="32"/>
                <w:szCs w:val="32"/>
              </w:rPr>
              <w:t>寿县人大常委会办公室</w:t>
            </w:r>
          </w:p>
        </w:tc>
        <w:tc>
          <w:tcPr>
            <w:tcW w:w="4500" w:type="dxa"/>
            <w:tcBorders>
              <w:top w:val="nil"/>
              <w:left w:val="nil"/>
              <w:bottom w:val="single" w:color="auto" w:sz="8" w:space="0"/>
              <w:right w:val="single" w:color="auto" w:sz="8" w:space="0"/>
            </w:tcBorders>
            <w:shd w:val="clear" w:color="auto" w:fill="FFFFFF"/>
          </w:tcPr>
          <w:p>
            <w:pPr>
              <w:adjustRightInd w:val="0"/>
              <w:snapToGrid w:val="0"/>
              <w:spacing w:line="580" w:lineRule="exact"/>
              <w:jc w:val="left"/>
              <w:rPr>
                <w:rFonts w:asciiTheme="minorEastAsia" w:hAnsiTheme="minorEastAsia" w:eastAsiaTheme="minorEastAsia"/>
                <w:sz w:val="32"/>
                <w:szCs w:val="32"/>
                <w:u w:val="single"/>
              </w:rPr>
            </w:pPr>
            <w:r>
              <w:rPr>
                <w:rFonts w:hint="eastAsia" w:cs="仿宋" w:asciiTheme="minorEastAsia" w:hAnsiTheme="minorEastAsia" w:eastAsiaTheme="minorEastAsia"/>
                <w:bCs/>
                <w:sz w:val="32"/>
                <w:szCs w:val="32"/>
              </w:rPr>
              <w:t>行政单位</w:t>
            </w:r>
          </w:p>
        </w:tc>
      </w:tr>
    </w:tbl>
    <w:p>
      <w:pPr>
        <w:pStyle w:val="4"/>
        <w:topLinePunct/>
        <w:adjustRightInd w:val="0"/>
        <w:snapToGrid w:val="0"/>
        <w:spacing w:beforeAutospacing="0" w:afterAutospacing="0" w:line="580" w:lineRule="exact"/>
        <w:ind w:firstLine="640" w:firstLineChars="200"/>
        <w:jc w:val="both"/>
        <w:rPr>
          <w:rFonts w:ascii="楷体_GB2312" w:hAnsi="TimesNewRoman" w:eastAsia="楷体_GB2312" w:cs="TimesNewRoman"/>
          <w:b/>
          <w:bCs/>
          <w:sz w:val="32"/>
          <w:szCs w:val="32"/>
        </w:rPr>
      </w:pPr>
      <w:r>
        <w:rPr>
          <w:rFonts w:hint="eastAsia" w:ascii="楷体_GB2312" w:hAnsi="TimesNewRoman" w:eastAsia="楷体_GB2312" w:cs="TimesNewRoman"/>
          <w:b/>
          <w:bCs/>
          <w:sz w:val="32"/>
          <w:szCs w:val="32"/>
        </w:rPr>
        <w:t>三、2024年度主要工作任务</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一、负责县人民代表大会、县人大常委会等各类重要会议的会务工作；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二、根据县人大常委会主任会议的决定和安排，负责联络协调各机关、各部门的工作，督办常委会领导交办的重要事项；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三、负责公文处理、起草机关重要文稿和重要会议的文字材料；牵头负责机关公文处理、档案管理和保密工作；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四、围绕县人大及其常委会工作职责和实践开展调查研究，为领导决策提供参考；开展人大制度和民主法制建设理论研究；审签《常委会会报》、《寿县人大》内刊、重要宣传稿件；组织开展党委政务信息、人大宣传信息工作，采写宣传信息稿件；参与常委会相关议题的调研；负责上级人大报刊的发行征订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五、负责牵头起草年度学法计划、筹办法制讲座、人大干部的法制培训等工作，做好县人大及其常委会规范性文件起草文稿合法性审查和报备工作，负责做好政府规范性文件备案审查工作，参与上级人大常委会开展的立法调研、论证等工作，负责拟任命人员法律知识考试和宪法宣誓工作；负责法律、法规的宣传教育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六、负责主任（党组）会议和常委会会议会议材料筹备、新闻联络发布和会议工作；负责审核常委会及其办公室文电等重要文稿；负责组织党组学习、研讨交流，牵头筹备常委会党组民主生活会；负责人事编制管理、综合考核等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七、负责接待群众来信来访，并负责登记、送签、转办；承办领导交办的重要信访案件的催办、跟踪督查；</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八、负责人大网站日常维护，及时更新各栏目信息；做好预算联网监督工作；负责做好与代表的联</w:t>
      </w:r>
      <w:bookmarkStart w:id="0" w:name="_GoBack"/>
      <w:bookmarkEnd w:id="0"/>
      <w:r>
        <w:rPr>
          <w:rFonts w:hint="eastAsia" w:asciiTheme="minorEastAsia" w:hAnsiTheme="minorEastAsia" w:eastAsiaTheme="minorEastAsia"/>
          <w:sz w:val="32"/>
          <w:szCs w:val="32"/>
        </w:rPr>
        <w:t>系沟通，管理代表QQ群、微信群；负责县人大常委会、政府常务会议以及相关活动列席代表的统筹安排；</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九、负责机关内部控制、日常管理、车辆保障、物品采购、资产管理；负责各类会议的会务保障、公务接待；负责草拟各类经费报告并履行报批程序；</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十、负责组织落实全面从严治党要求，加强机关党建和党风廉政建设，落实政治建设、思想建设、组织建设、作风建设、纪律建设、制度建设和反腐败斗争各项要求；严肃党内政治生活，组织开展“三会一课”、组织生活会、民主评议党员；负责组织做好党员发展、日常教育管理工作；负责组织主题教育、警示教育等工作；</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十一、负责落实县委、县政府交办的工作事项；</w:t>
      </w:r>
    </w:p>
    <w:p>
      <w:pPr>
        <w:spacing w:line="60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十二、负责落实县人大常委会领导交办的工作事项。</w:t>
      </w:r>
    </w:p>
    <w:p>
      <w:pPr>
        <w:pStyle w:val="4"/>
        <w:adjustRightInd w:val="0"/>
        <w:snapToGrid w:val="0"/>
        <w:spacing w:line="560" w:lineRule="exact"/>
        <w:rPr>
          <w:rFonts w:ascii="TimesNewRoman" w:hAnsi="TimesNewRoman" w:eastAsia="黑体" w:cs="TimesNewRoman"/>
          <w:bCs/>
          <w:sz w:val="36"/>
          <w:szCs w:val="36"/>
        </w:rPr>
      </w:pPr>
    </w:p>
    <w:p>
      <w:pPr>
        <w:pStyle w:val="4"/>
        <w:adjustRightInd w:val="0"/>
        <w:snapToGrid w:val="0"/>
        <w:spacing w:line="560" w:lineRule="exact"/>
        <w:rPr>
          <w:rFonts w:ascii="TimesNewRoman" w:hAnsi="TimesNewRoman" w:eastAsia="黑体" w:cs="TimesNewRoman"/>
          <w:bCs/>
          <w:sz w:val="36"/>
          <w:szCs w:val="36"/>
        </w:rPr>
      </w:pPr>
    </w:p>
    <w:p>
      <w:pPr>
        <w:pStyle w:val="4"/>
        <w:adjustRightInd w:val="0"/>
        <w:snapToGrid w:val="0"/>
        <w:spacing w:line="560" w:lineRule="exact"/>
        <w:rPr>
          <w:rFonts w:ascii="TimesNewRoman" w:hAnsi="TimesNewRoman" w:eastAsia="黑体" w:cs="TimesNewRoman"/>
          <w:bCs/>
          <w:sz w:val="36"/>
          <w:szCs w:val="36"/>
        </w:rPr>
      </w:pPr>
    </w:p>
    <w:p>
      <w:pPr>
        <w:pStyle w:val="4"/>
        <w:adjustRightInd w:val="0"/>
        <w:snapToGrid w:val="0"/>
        <w:spacing w:line="560" w:lineRule="exact"/>
        <w:rPr>
          <w:rFonts w:ascii="TimesNewRoman" w:hAnsi="TimesNewRoman" w:eastAsia="黑体" w:cs="TimesNewRoman"/>
          <w:bCs/>
          <w:sz w:val="36"/>
          <w:szCs w:val="36"/>
        </w:rPr>
      </w:pPr>
    </w:p>
    <w:p>
      <w:pPr>
        <w:pStyle w:val="4"/>
        <w:topLinePunct/>
        <w:adjustRightInd w:val="0"/>
        <w:snapToGrid w:val="0"/>
        <w:spacing w:beforeAutospacing="0" w:afterAutospacing="0" w:line="560" w:lineRule="exact"/>
        <w:jc w:val="center"/>
        <w:rPr>
          <w:rFonts w:ascii="TimesNewRoman" w:hAnsi="TimesNewRoman" w:eastAsia="黑体" w:cs="TimesNewRoman"/>
          <w:b/>
          <w:bCs/>
          <w:sz w:val="44"/>
          <w:szCs w:val="36"/>
        </w:rPr>
      </w:pPr>
      <w:r>
        <w:rPr>
          <w:rFonts w:ascii="TimesNewRoman" w:hAnsi="TimesNewRoman" w:eastAsia="黑体" w:cs="TimesNewRoman"/>
          <w:b/>
          <w:bCs/>
          <w:sz w:val="44"/>
          <w:szCs w:val="36"/>
        </w:rPr>
        <w:t xml:space="preserve">第二部分 </w:t>
      </w:r>
      <w:r>
        <w:rPr>
          <w:rFonts w:hint="eastAsia" w:ascii="TimesNewRoman" w:hAnsi="TimesNewRoman" w:eastAsia="黑体" w:cs="TimesNewRoman"/>
          <w:b/>
          <w:bCs/>
          <w:sz w:val="44"/>
          <w:szCs w:val="36"/>
        </w:rPr>
        <w:t>2024</w:t>
      </w:r>
      <w:r>
        <w:rPr>
          <w:rFonts w:ascii="TimesNewRoman" w:hAnsi="TimesNewRoman" w:eastAsia="黑体" w:cs="TimesNewRoman"/>
          <w:b/>
          <w:bCs/>
          <w:sz w:val="44"/>
          <w:szCs w:val="36"/>
        </w:rPr>
        <w:t>年部门预算表</w:t>
      </w:r>
    </w:p>
    <w:p>
      <w:pPr>
        <w:spacing w:line="560" w:lineRule="exact"/>
        <w:ind w:firstLine="6600" w:firstLineChars="3300"/>
        <w:jc w:val="left"/>
        <w:rPr>
          <w:rFonts w:ascii="TimesNewRoman" w:hAnsi="TimesNewRoman" w:cs="TimesNewRoman"/>
          <w:kern w:val="0"/>
          <w:sz w:val="20"/>
        </w:rPr>
      </w:pPr>
      <w:r>
        <w:rPr>
          <w:rFonts w:ascii="TimesNewRoman" w:hAnsi="TimesNewRoman" w:cs="TimesNewRoman"/>
          <w:kern w:val="0"/>
          <w:sz w:val="20"/>
        </w:rPr>
        <w:t>部门公开表1</w:t>
      </w:r>
    </w:p>
    <w:p>
      <w:pPr>
        <w:spacing w:line="560" w:lineRule="exact"/>
        <w:rPr>
          <w:rFonts w:ascii="TimesNewRoman" w:hAnsi="TimesNewRoman" w:cs="TimesNewRoman"/>
          <w:kern w:val="0"/>
          <w:sz w:val="20"/>
        </w:rPr>
      </w:pPr>
      <w:r>
        <w:rPr>
          <w:rFonts w:ascii="TimesNewRoman" w:hAnsi="TimesNewRoman" w:cs="TimesNewRoman"/>
          <w:kern w:val="0"/>
          <w:sz w:val="20"/>
        </w:rPr>
        <w:t xml:space="preserve">            </w:t>
      </w:r>
    </w:p>
    <w:tbl>
      <w:tblPr>
        <w:tblStyle w:val="5"/>
        <w:tblW w:w="9061" w:type="dxa"/>
        <w:tblInd w:w="0" w:type="dxa"/>
        <w:tblLayout w:type="fixed"/>
        <w:tblCellMar>
          <w:top w:w="0" w:type="dxa"/>
          <w:left w:w="108" w:type="dxa"/>
          <w:bottom w:w="0" w:type="dxa"/>
          <w:right w:w="108" w:type="dxa"/>
        </w:tblCellMar>
      </w:tblPr>
      <w:tblGrid>
        <w:gridCol w:w="4122"/>
        <w:gridCol w:w="948"/>
        <w:gridCol w:w="2585"/>
        <w:gridCol w:w="1406"/>
      </w:tblGrid>
      <w:tr>
        <w:tblPrEx>
          <w:tblLayout w:type="fixed"/>
          <w:tblCellMar>
            <w:top w:w="0" w:type="dxa"/>
            <w:left w:w="108" w:type="dxa"/>
            <w:bottom w:w="0" w:type="dxa"/>
            <w:right w:w="108" w:type="dxa"/>
          </w:tblCellMar>
        </w:tblPrEx>
        <w:trPr>
          <w:trHeight w:val="690" w:hRule="atLeast"/>
        </w:trPr>
        <w:tc>
          <w:tcPr>
            <w:tcW w:w="9061" w:type="dxa"/>
            <w:gridSpan w:val="4"/>
            <w:tcBorders>
              <w:top w:val="nil"/>
              <w:left w:val="nil"/>
              <w:bottom w:val="nil"/>
              <w:right w:val="nil"/>
            </w:tcBorders>
            <w:shd w:val="clear" w:color="auto" w:fill="auto"/>
            <w:noWrap/>
            <w:vAlign w:val="center"/>
          </w:tcPr>
          <w:p>
            <w:pPr>
              <w:widowControl/>
              <w:jc w:val="center"/>
              <w:rPr>
                <w:rFonts w:ascii="宋体" w:hAnsi="宋体" w:cs="Arial"/>
                <w:b/>
                <w:bCs/>
                <w:color w:val="000000"/>
                <w:kern w:val="0"/>
                <w:sz w:val="32"/>
                <w:szCs w:val="32"/>
              </w:rPr>
            </w:pPr>
            <w:r>
              <w:rPr>
                <w:rFonts w:hint="eastAsia" w:ascii="宋体" w:hAnsi="宋体" w:cs="Arial"/>
                <w:b/>
                <w:bCs/>
                <w:color w:val="000000"/>
                <w:kern w:val="0"/>
                <w:sz w:val="32"/>
                <w:szCs w:val="32"/>
              </w:rPr>
              <w:t>2024年部门收支总表</w:t>
            </w:r>
          </w:p>
        </w:tc>
      </w:tr>
      <w:tr>
        <w:tblPrEx>
          <w:tblLayout w:type="fixed"/>
          <w:tblCellMar>
            <w:top w:w="0" w:type="dxa"/>
            <w:left w:w="108" w:type="dxa"/>
            <w:bottom w:w="0" w:type="dxa"/>
            <w:right w:w="108" w:type="dxa"/>
          </w:tblCellMar>
        </w:tblPrEx>
        <w:trPr>
          <w:trHeight w:val="420" w:hRule="atLeast"/>
        </w:trPr>
        <w:tc>
          <w:tcPr>
            <w:tcW w:w="4122"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948"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c>
          <w:tcPr>
            <w:tcW w:w="2585" w:type="dxa"/>
            <w:tcBorders>
              <w:top w:val="nil"/>
              <w:left w:val="nil"/>
              <w:bottom w:val="nil"/>
              <w:right w:val="nil"/>
            </w:tcBorders>
            <w:shd w:val="clear" w:color="auto" w:fill="auto"/>
            <w:noWrap/>
            <w:vAlign w:val="center"/>
          </w:tcPr>
          <w:p>
            <w:pPr>
              <w:widowControl/>
              <w:jc w:val="left"/>
              <w:rPr>
                <w:rFonts w:eastAsia="Times New Roman"/>
                <w:kern w:val="0"/>
                <w:sz w:val="20"/>
                <w:szCs w:val="20"/>
              </w:rPr>
            </w:pPr>
          </w:p>
        </w:tc>
        <w:tc>
          <w:tcPr>
            <w:tcW w:w="1406" w:type="dxa"/>
            <w:tcBorders>
              <w:top w:val="nil"/>
              <w:left w:val="nil"/>
              <w:bottom w:val="nil"/>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300" w:hRule="atLeast"/>
        </w:trPr>
        <w:tc>
          <w:tcPr>
            <w:tcW w:w="507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xml:space="preserve">          收            入             </w:t>
            </w:r>
          </w:p>
        </w:tc>
        <w:tc>
          <w:tcPr>
            <w:tcW w:w="3991" w:type="dxa"/>
            <w:gridSpan w:val="2"/>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支          出</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收 入 项 目</w:t>
            </w:r>
          </w:p>
        </w:tc>
        <w:tc>
          <w:tcPr>
            <w:tcW w:w="948" w:type="dxa"/>
            <w:tcBorders>
              <w:top w:val="nil"/>
              <w:left w:val="nil"/>
              <w:bottom w:val="nil"/>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预算数</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支出功能分类科目</w:t>
            </w:r>
          </w:p>
        </w:tc>
        <w:tc>
          <w:tcPr>
            <w:tcW w:w="1406" w:type="dxa"/>
            <w:tcBorders>
              <w:top w:val="nil"/>
              <w:left w:val="nil"/>
              <w:bottom w:val="nil"/>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预算数</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一、一般公共预算拨款收入</w:t>
            </w:r>
          </w:p>
        </w:tc>
        <w:tc>
          <w:tcPr>
            <w:tcW w:w="948" w:type="dxa"/>
            <w:tcBorders>
              <w:top w:val="single" w:color="000000" w:sz="4" w:space="0"/>
              <w:left w:val="nil"/>
              <w:bottom w:val="nil"/>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一、一般公共服务支出</w:t>
            </w:r>
          </w:p>
        </w:tc>
        <w:tc>
          <w:tcPr>
            <w:tcW w:w="1406" w:type="dxa"/>
            <w:tcBorders>
              <w:top w:val="single" w:color="000000" w:sz="4" w:space="0"/>
              <w:left w:val="nil"/>
              <w:bottom w:val="nil"/>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554.85</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其中：中央转移支付收入</w:t>
            </w:r>
          </w:p>
        </w:tc>
        <w:tc>
          <w:tcPr>
            <w:tcW w:w="948" w:type="dxa"/>
            <w:tcBorders>
              <w:top w:val="single" w:color="000000" w:sz="4" w:space="0"/>
              <w:left w:val="nil"/>
              <w:bottom w:val="nil"/>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二、外交支出</w:t>
            </w:r>
          </w:p>
        </w:tc>
        <w:tc>
          <w:tcPr>
            <w:tcW w:w="1406" w:type="dxa"/>
            <w:tcBorders>
              <w:top w:val="single" w:color="000000" w:sz="4" w:space="0"/>
              <w:left w:val="nil"/>
              <w:bottom w:val="nil"/>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二、政府性基金预算拨款收入</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三、国防支出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其中：中央转移支付收入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四、公共安全支出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rPr>
                <w:rFonts w:ascii="宋体" w:hAnsi="宋体" w:cs="Arial"/>
                <w:color w:val="000000"/>
                <w:kern w:val="0"/>
                <w:sz w:val="18"/>
                <w:szCs w:val="18"/>
              </w:rPr>
            </w:pPr>
            <w:r>
              <w:rPr>
                <w:rFonts w:hint="eastAsia" w:ascii="宋体" w:hAnsi="宋体" w:cs="Arial"/>
                <w:color w:val="000000"/>
                <w:kern w:val="0"/>
                <w:sz w:val="18"/>
                <w:szCs w:val="18"/>
              </w:rPr>
              <w:t>三、国有资本经营预算拨款收入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五、教育支出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其中：中央转移支付收入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六、科学技术支出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四、财政专户管理资金收入</w:t>
            </w:r>
          </w:p>
        </w:tc>
        <w:tc>
          <w:tcPr>
            <w:tcW w:w="948" w:type="dxa"/>
            <w:tcBorders>
              <w:top w:val="nil"/>
              <w:left w:val="nil"/>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七、文化旅游体育与传媒支出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八、社会保障和就业支出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五、单位资金收入</w:t>
            </w:r>
          </w:p>
        </w:tc>
        <w:tc>
          <w:tcPr>
            <w:tcW w:w="948" w:type="dxa"/>
            <w:tcBorders>
              <w:top w:val="nil"/>
              <w:left w:val="nil"/>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九、卫生健康支出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其中：事业收入</w:t>
            </w:r>
          </w:p>
        </w:tc>
        <w:tc>
          <w:tcPr>
            <w:tcW w:w="948"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十、节能环保支出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事业单位经营收入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十一、城乡社区支出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上级补助收入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十二、农林水支出</w:t>
            </w:r>
          </w:p>
        </w:tc>
        <w:tc>
          <w:tcPr>
            <w:tcW w:w="1406" w:type="dxa"/>
            <w:tcBorders>
              <w:top w:val="single" w:color="000000" w:sz="4" w:space="0"/>
              <w:left w:val="single" w:color="000000" w:sz="4" w:space="0"/>
              <w:bottom w:val="nil"/>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附属单位上缴收入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十三、交通运输支出</w:t>
            </w:r>
          </w:p>
        </w:tc>
        <w:tc>
          <w:tcPr>
            <w:tcW w:w="1406"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其他收入</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十四、资源勘探信息等事务支出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十五、商业服务业等事务支出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十六、金融支出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十七、援助其他地区支出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十八、自然资源海洋气象等支出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十九、住房保障支出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二十、粮油物资储备支出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二十一、灾害防治及应急管理支出</w:t>
            </w:r>
          </w:p>
        </w:tc>
        <w:tc>
          <w:tcPr>
            <w:tcW w:w="140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二十二、预备费</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二十三、其他支出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二十四、转移性支出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二十五、债务还本支出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二十六、债务利息支出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二十七、债务发行费用支出</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本  年  收  入  小  计</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本  年  支  出  小  计</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上年结转数</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结转下年</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 xml:space="preserve">    一般公共预算</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一般公共预算</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 xml:space="preserve">    政府性基金预算</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政府性基金预算</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 xml:space="preserve">    国有资本经营预算</w:t>
            </w:r>
          </w:p>
        </w:tc>
        <w:tc>
          <w:tcPr>
            <w:tcW w:w="9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国有资本经营预算</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 xml:space="preserve">    财政专户管理资金</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财政专户管理资金</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18"/>
                <w:szCs w:val="18"/>
              </w:rPr>
            </w:pPr>
            <w:r>
              <w:rPr>
                <w:rFonts w:hint="eastAsia" w:ascii="宋体" w:hAnsi="宋体" w:cs="Arial"/>
                <w:color w:val="000000"/>
                <w:kern w:val="0"/>
                <w:sz w:val="18"/>
                <w:szCs w:val="18"/>
              </w:rPr>
              <w:t xml:space="preserve">    单位资金</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xml:space="preserve">    单位资金</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　</w:t>
            </w:r>
          </w:p>
        </w:tc>
        <w:tc>
          <w:tcPr>
            <w:tcW w:w="948" w:type="dxa"/>
            <w:tcBorders>
              <w:top w:val="nil"/>
              <w:left w:val="nil"/>
              <w:bottom w:val="single" w:color="000000" w:sz="4" w:space="0"/>
              <w:right w:val="single" w:color="000000" w:sz="4" w:space="0"/>
            </w:tcBorders>
            <w:shd w:val="clear" w:color="auto" w:fill="auto"/>
            <w:noWrap/>
            <w:vAlign w:val="bottom"/>
          </w:tcPr>
          <w:p>
            <w:pPr>
              <w:widowControl/>
              <w:jc w:val="right"/>
              <w:rPr>
                <w:rFonts w:ascii="宋体" w:hAnsi="宋体" w:cs="Arial"/>
                <w:color w:val="000000"/>
                <w:kern w:val="0"/>
                <w:sz w:val="18"/>
                <w:szCs w:val="18"/>
              </w:rPr>
            </w:pPr>
            <w:r>
              <w:rPr>
                <w:rFonts w:hint="eastAsia" w:ascii="宋体" w:hAnsi="宋体" w:cs="Arial"/>
                <w:color w:val="000000"/>
                <w:kern w:val="0"/>
                <w:sz w:val="18"/>
                <w:szCs w:val="18"/>
              </w:rPr>
              <w:t>　</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00" w:hRule="atLeast"/>
        </w:trPr>
        <w:tc>
          <w:tcPr>
            <w:tcW w:w="412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18"/>
                <w:szCs w:val="18"/>
              </w:rPr>
            </w:pPr>
            <w:r>
              <w:rPr>
                <w:rFonts w:hint="eastAsia" w:ascii="宋体" w:hAnsi="宋体" w:cs="Arial"/>
                <w:color w:val="000000"/>
                <w:kern w:val="0"/>
                <w:sz w:val="18"/>
                <w:szCs w:val="18"/>
              </w:rPr>
              <w:t>收   入   总   计</w:t>
            </w:r>
          </w:p>
        </w:tc>
        <w:tc>
          <w:tcPr>
            <w:tcW w:w="948" w:type="dxa"/>
            <w:tcBorders>
              <w:top w:val="nil"/>
              <w:left w:val="nil"/>
              <w:bottom w:val="single" w:color="000000" w:sz="4" w:space="0"/>
              <w:right w:val="single" w:color="000000" w:sz="4" w:space="0"/>
            </w:tcBorders>
            <w:shd w:val="clear" w:color="auto" w:fill="auto"/>
            <w:noWrap/>
            <w:vAlign w:val="center"/>
          </w:tcPr>
          <w:p>
            <w:pPr>
              <w:widowControl/>
              <w:jc w:val="right"/>
              <w:rPr>
                <w:rFonts w:ascii="Calibri" w:hAnsi="Calibri" w:cs="Calibri"/>
                <w:color w:val="000000"/>
                <w:kern w:val="0"/>
                <w:sz w:val="22"/>
                <w:szCs w:val="22"/>
              </w:rPr>
            </w:pPr>
            <w:r>
              <w:rPr>
                <w:rFonts w:ascii="Calibri" w:hAnsi="Calibri" w:cs="Calibri"/>
                <w:color w:val="000000"/>
                <w:kern w:val="0"/>
                <w:sz w:val="22"/>
                <w:szCs w:val="22"/>
              </w:rPr>
              <w:t>806.48</w:t>
            </w:r>
          </w:p>
        </w:tc>
        <w:tc>
          <w:tcPr>
            <w:tcW w:w="2585"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支　出  总　计</w:t>
            </w:r>
          </w:p>
        </w:tc>
        <w:tc>
          <w:tcPr>
            <w:tcW w:w="140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r>
    </w:tbl>
    <w:p>
      <w:pPr>
        <w:spacing w:line="560" w:lineRule="exact"/>
        <w:rPr>
          <w:rFonts w:ascii="TimesNewRoman" w:hAnsi="TimesNewRoman" w:cs="TimesNewRoman"/>
          <w:kern w:val="0"/>
          <w:sz w:val="20"/>
        </w:rPr>
      </w:pPr>
      <w:r>
        <w:rPr>
          <w:rFonts w:ascii="TimesNewRoman" w:hAnsi="TimesNewRoman" w:cs="TimesNewRoman"/>
          <w:kern w:val="0"/>
          <w:sz w:val="20"/>
        </w:rPr>
        <w:t xml:space="preserve">                                                              单位：万元</w:t>
      </w:r>
    </w:p>
    <w:p>
      <w:pPr>
        <w:spacing w:line="560" w:lineRule="exact"/>
        <w:jc w:val="center"/>
        <w:rPr>
          <w:rFonts w:ascii="TimesNewRoman" w:hAnsi="TimesNewRoman" w:cs="TimesNewRoman"/>
          <w:kern w:val="0"/>
          <w:sz w:val="20"/>
        </w:rPr>
        <w:sectPr>
          <w:footerReference r:id="rId3" w:type="default"/>
          <w:footerReference r:id="rId4" w:type="even"/>
          <w:pgSz w:w="11907" w:h="16840"/>
          <w:pgMar w:top="2098" w:right="1474" w:bottom="1985" w:left="1588" w:header="851" w:footer="1021" w:gutter="0"/>
          <w:cols w:space="425" w:num="1"/>
          <w:titlePg/>
          <w:docGrid w:type="linesAndChars" w:linePitch="312" w:charSpace="0"/>
        </w:sectPr>
      </w:pPr>
    </w:p>
    <w:p>
      <w:pPr>
        <w:spacing w:line="560" w:lineRule="exact"/>
        <w:jc w:val="right"/>
        <w:rPr>
          <w:rFonts w:ascii="TimesNewRoman" w:hAnsi="TimesNewRoman" w:cs="TimesNewRoman"/>
          <w:kern w:val="0"/>
          <w:sz w:val="20"/>
        </w:rPr>
      </w:pPr>
      <w:r>
        <w:rPr>
          <w:rFonts w:hint="eastAsia" w:ascii="TimesNewRoman" w:hAnsi="TimesNewRoman" w:cs="TimesNewRoman"/>
          <w:kern w:val="0"/>
          <w:sz w:val="20"/>
        </w:rPr>
        <w:t xml:space="preserve">                                                                                                             </w:t>
      </w:r>
      <w:r>
        <w:rPr>
          <w:rFonts w:ascii="TimesNewRoman" w:hAnsi="TimesNewRoman" w:cs="TimesNewRoman"/>
          <w:kern w:val="0"/>
          <w:sz w:val="20"/>
        </w:rPr>
        <w:t xml:space="preserve">                 部门公开表2</w:t>
      </w:r>
    </w:p>
    <w:tbl>
      <w:tblPr>
        <w:tblStyle w:val="5"/>
        <w:tblW w:w="8845" w:type="dxa"/>
        <w:tblInd w:w="0" w:type="dxa"/>
        <w:tblLayout w:type="fixed"/>
        <w:tblCellMar>
          <w:top w:w="0" w:type="dxa"/>
          <w:left w:w="108" w:type="dxa"/>
          <w:bottom w:w="0" w:type="dxa"/>
          <w:right w:w="108" w:type="dxa"/>
        </w:tblCellMar>
      </w:tblPr>
      <w:tblGrid>
        <w:gridCol w:w="1462"/>
        <w:gridCol w:w="1196"/>
        <w:gridCol w:w="551"/>
        <w:gridCol w:w="551"/>
        <w:gridCol w:w="339"/>
        <w:gridCol w:w="339"/>
        <w:gridCol w:w="339"/>
        <w:gridCol w:w="339"/>
        <w:gridCol w:w="339"/>
        <w:gridCol w:w="339"/>
        <w:gridCol w:w="339"/>
        <w:gridCol w:w="339"/>
        <w:gridCol w:w="339"/>
        <w:gridCol w:w="339"/>
        <w:gridCol w:w="339"/>
        <w:gridCol w:w="339"/>
        <w:gridCol w:w="339"/>
        <w:gridCol w:w="339"/>
        <w:gridCol w:w="339"/>
      </w:tblGrid>
      <w:tr>
        <w:tblPrEx>
          <w:tblLayout w:type="fixed"/>
          <w:tblCellMar>
            <w:top w:w="0" w:type="dxa"/>
            <w:left w:w="108" w:type="dxa"/>
            <w:bottom w:w="0" w:type="dxa"/>
            <w:right w:w="108" w:type="dxa"/>
          </w:tblCellMar>
        </w:tblPrEx>
        <w:trPr>
          <w:trHeight w:val="690" w:hRule="atLeast"/>
        </w:trPr>
        <w:tc>
          <w:tcPr>
            <w:tcW w:w="8845" w:type="dxa"/>
            <w:gridSpan w:val="19"/>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2024年部门收入总表</w:t>
            </w:r>
          </w:p>
        </w:tc>
      </w:tr>
      <w:tr>
        <w:tblPrEx>
          <w:tblLayout w:type="fixed"/>
          <w:tblCellMar>
            <w:top w:w="0" w:type="dxa"/>
            <w:left w:w="108" w:type="dxa"/>
            <w:bottom w:w="0" w:type="dxa"/>
            <w:right w:w="108" w:type="dxa"/>
          </w:tblCellMar>
        </w:tblPrEx>
        <w:trPr>
          <w:trHeight w:val="360" w:hRule="atLeast"/>
        </w:trPr>
        <w:tc>
          <w:tcPr>
            <w:tcW w:w="2658"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551"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551"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39"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56" w:type="dxa"/>
            <w:gridSpan w:val="4"/>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420" w:hRule="atLeast"/>
        </w:trPr>
        <w:tc>
          <w:tcPr>
            <w:tcW w:w="14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部门（单位）名称</w:t>
            </w:r>
          </w:p>
        </w:tc>
        <w:tc>
          <w:tcPr>
            <w:tcW w:w="11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4153" w:type="dxa"/>
            <w:gridSpan w:val="11"/>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本年收入</w:t>
            </w:r>
          </w:p>
        </w:tc>
        <w:tc>
          <w:tcPr>
            <w:tcW w:w="2034" w:type="dxa"/>
            <w:gridSpan w:val="6"/>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上年结转结余</w:t>
            </w:r>
          </w:p>
        </w:tc>
      </w:tr>
      <w:tr>
        <w:tblPrEx>
          <w:tblLayout w:type="fixed"/>
          <w:tblCellMar>
            <w:top w:w="0" w:type="dxa"/>
            <w:left w:w="108" w:type="dxa"/>
            <w:bottom w:w="0" w:type="dxa"/>
            <w:right w:w="108" w:type="dxa"/>
          </w:tblCellMar>
        </w:tblPrEx>
        <w:trPr>
          <w:trHeight w:val="420" w:hRule="atLeast"/>
        </w:trPr>
        <w:tc>
          <w:tcPr>
            <w:tcW w:w="146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119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551"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财政专户管理资金</w:t>
            </w:r>
          </w:p>
        </w:tc>
        <w:tc>
          <w:tcPr>
            <w:tcW w:w="2034" w:type="dxa"/>
            <w:gridSpan w:val="6"/>
            <w:tcBorders>
              <w:top w:val="nil"/>
              <w:left w:val="nil"/>
              <w:bottom w:val="nil"/>
              <w:right w:val="nil"/>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单位资金</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财政专户管理资金</w:t>
            </w:r>
          </w:p>
        </w:tc>
        <w:tc>
          <w:tcPr>
            <w:tcW w:w="33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单位资金</w:t>
            </w:r>
          </w:p>
        </w:tc>
      </w:tr>
      <w:tr>
        <w:tblPrEx>
          <w:tblLayout w:type="fixed"/>
          <w:tblCellMar>
            <w:top w:w="0" w:type="dxa"/>
            <w:left w:w="108" w:type="dxa"/>
            <w:bottom w:w="0" w:type="dxa"/>
            <w:right w:w="108" w:type="dxa"/>
          </w:tblCellMar>
        </w:tblPrEx>
        <w:trPr>
          <w:trHeight w:val="825" w:hRule="atLeast"/>
        </w:trPr>
        <w:tc>
          <w:tcPr>
            <w:tcW w:w="146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119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551"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小计</w:t>
            </w:r>
          </w:p>
        </w:tc>
        <w:tc>
          <w:tcPr>
            <w:tcW w:w="339"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事业收入</w:t>
            </w:r>
          </w:p>
        </w:tc>
        <w:tc>
          <w:tcPr>
            <w:tcW w:w="339" w:type="dxa"/>
            <w:tcBorders>
              <w:top w:val="single" w:color="000000" w:sz="4" w:space="0"/>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事业单位经营收入</w:t>
            </w:r>
          </w:p>
        </w:tc>
        <w:tc>
          <w:tcPr>
            <w:tcW w:w="339" w:type="dxa"/>
            <w:tcBorders>
              <w:top w:val="single" w:color="000000" w:sz="4" w:space="0"/>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上级补助收入</w:t>
            </w:r>
          </w:p>
        </w:tc>
        <w:tc>
          <w:tcPr>
            <w:tcW w:w="339" w:type="dxa"/>
            <w:tcBorders>
              <w:top w:val="single" w:color="000000" w:sz="4" w:space="0"/>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附属单位上缴收入</w:t>
            </w:r>
          </w:p>
        </w:tc>
        <w:tc>
          <w:tcPr>
            <w:tcW w:w="339" w:type="dxa"/>
            <w:tcBorders>
              <w:top w:val="single" w:color="000000" w:sz="4" w:space="0"/>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其他收入</w:t>
            </w: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3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Layout w:type="fixed"/>
          <w:tblCellMar>
            <w:top w:w="0" w:type="dxa"/>
            <w:left w:w="108" w:type="dxa"/>
            <w:bottom w:w="0" w:type="dxa"/>
            <w:right w:w="108" w:type="dxa"/>
          </w:tblCellMar>
        </w:tblPrEx>
        <w:trPr>
          <w:trHeight w:val="450" w:hRule="atLeast"/>
        </w:trPr>
        <w:tc>
          <w:tcPr>
            <w:tcW w:w="1462"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合计</w:t>
            </w:r>
          </w:p>
        </w:tc>
        <w:tc>
          <w:tcPr>
            <w:tcW w:w="119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551"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551"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450" w:hRule="atLeast"/>
        </w:trPr>
        <w:tc>
          <w:tcPr>
            <w:tcW w:w="1462"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寿县人民代表大会常务委员会办公室</w:t>
            </w:r>
          </w:p>
        </w:tc>
        <w:tc>
          <w:tcPr>
            <w:tcW w:w="119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551"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551"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450" w:hRule="atLeast"/>
        </w:trPr>
        <w:tc>
          <w:tcPr>
            <w:tcW w:w="1462"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寿县人民代表大会常务委员会办公室</w:t>
            </w:r>
          </w:p>
        </w:tc>
        <w:tc>
          <w:tcPr>
            <w:tcW w:w="1196"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551"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551"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39"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bl>
    <w:p>
      <w:pPr>
        <w:spacing w:line="560" w:lineRule="exact"/>
        <w:jc w:val="right"/>
        <w:rPr>
          <w:rFonts w:ascii="TimesNewRoman" w:hAnsi="TimesNewRoman" w:cs="TimesNewRoman"/>
          <w:kern w:val="0"/>
          <w:sz w:val="20"/>
        </w:rPr>
      </w:pPr>
      <w:r>
        <w:rPr>
          <w:rFonts w:ascii="TimesNewRoman" w:hAnsi="TimesNewRoman" w:cs="TimesNewRoman"/>
          <w:kern w:val="0"/>
          <w:sz w:val="20"/>
        </w:rPr>
        <w:t xml:space="preserve">                                       </w:t>
      </w:r>
      <w:r>
        <w:rPr>
          <w:rFonts w:hint="eastAsia" w:ascii="TimesNewRoman" w:hAnsi="TimesNewRoman" w:cs="TimesNewRoman"/>
          <w:kern w:val="0"/>
          <w:sz w:val="20"/>
        </w:rPr>
        <w:t xml:space="preserve">             </w:t>
      </w:r>
    </w:p>
    <w:p>
      <w:pPr>
        <w:spacing w:line="560" w:lineRule="exact"/>
        <w:jc w:val="right"/>
        <w:rPr>
          <w:rFonts w:ascii="TimesNewRoman" w:hAnsi="TimesNewRoman" w:cs="TimesNewRoman"/>
          <w:kern w:val="0"/>
          <w:sz w:val="20"/>
        </w:rPr>
        <w:sectPr>
          <w:pgSz w:w="11907" w:h="16840"/>
          <w:pgMar w:top="1985" w:right="1588" w:bottom="2098" w:left="1474" w:header="851" w:footer="1021" w:gutter="0"/>
          <w:cols w:space="425" w:num="1"/>
          <w:docGrid w:type="lines" w:linePitch="312" w:charSpace="0"/>
        </w:sectPr>
      </w:pPr>
    </w:p>
    <w:p>
      <w:pPr>
        <w:spacing w:line="560" w:lineRule="exact"/>
        <w:jc w:val="right"/>
        <w:rPr>
          <w:rFonts w:ascii="TimesNewRoman" w:hAnsi="TimesNewRoman" w:cs="TimesNewRoman"/>
          <w:kern w:val="0"/>
          <w:sz w:val="20"/>
        </w:rPr>
      </w:pPr>
      <w:r>
        <w:rPr>
          <w:rFonts w:hint="eastAsia" w:ascii="TimesNewRoman" w:hAnsi="TimesNewRoman" w:cs="TimesNewRoman"/>
          <w:kern w:val="0"/>
          <w:sz w:val="20"/>
        </w:rPr>
        <w:t xml:space="preserve">     </w:t>
      </w:r>
      <w:r>
        <w:rPr>
          <w:rFonts w:ascii="TimesNewRoman" w:hAnsi="TimesNewRoman" w:cs="TimesNewRoman"/>
          <w:kern w:val="0"/>
          <w:sz w:val="20"/>
        </w:rPr>
        <w:t>部门公开表3</w:t>
      </w:r>
    </w:p>
    <w:tbl>
      <w:tblPr>
        <w:tblStyle w:val="5"/>
        <w:tblW w:w="8845" w:type="dxa"/>
        <w:tblInd w:w="0" w:type="dxa"/>
        <w:tblLayout w:type="fixed"/>
        <w:tblCellMar>
          <w:top w:w="0" w:type="dxa"/>
          <w:left w:w="108" w:type="dxa"/>
          <w:bottom w:w="0" w:type="dxa"/>
          <w:right w:w="108" w:type="dxa"/>
        </w:tblCellMar>
      </w:tblPr>
      <w:tblGrid>
        <w:gridCol w:w="861"/>
        <w:gridCol w:w="2151"/>
        <w:gridCol w:w="966"/>
        <w:gridCol w:w="831"/>
        <w:gridCol w:w="968"/>
        <w:gridCol w:w="278"/>
        <w:gridCol w:w="417"/>
        <w:gridCol w:w="991"/>
        <w:gridCol w:w="1382"/>
      </w:tblGrid>
      <w:tr>
        <w:tblPrEx>
          <w:tblLayout w:type="fixed"/>
          <w:tblCellMar>
            <w:top w:w="0" w:type="dxa"/>
            <w:left w:w="108" w:type="dxa"/>
            <w:bottom w:w="0" w:type="dxa"/>
            <w:right w:w="108" w:type="dxa"/>
          </w:tblCellMar>
        </w:tblPrEx>
        <w:trPr>
          <w:trHeight w:val="420" w:hRule="atLeast"/>
        </w:trPr>
        <w:tc>
          <w:tcPr>
            <w:tcW w:w="861"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c>
          <w:tcPr>
            <w:tcW w:w="2151"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c>
          <w:tcPr>
            <w:tcW w:w="966"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831"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1246" w:type="dxa"/>
            <w:gridSpan w:val="2"/>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417"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991"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1382"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r>
      <w:tr>
        <w:tblPrEx>
          <w:tblLayout w:type="fixed"/>
          <w:tblCellMar>
            <w:top w:w="0" w:type="dxa"/>
            <w:left w:w="108" w:type="dxa"/>
            <w:bottom w:w="0" w:type="dxa"/>
            <w:right w:w="108" w:type="dxa"/>
          </w:tblCellMar>
        </w:tblPrEx>
        <w:trPr>
          <w:trHeight w:val="585" w:hRule="atLeast"/>
        </w:trPr>
        <w:tc>
          <w:tcPr>
            <w:tcW w:w="8845" w:type="dxa"/>
            <w:gridSpan w:val="9"/>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2024年部门支出总表</w:t>
            </w:r>
          </w:p>
        </w:tc>
      </w:tr>
      <w:tr>
        <w:tblPrEx>
          <w:tblLayout w:type="fixed"/>
          <w:tblCellMar>
            <w:top w:w="0" w:type="dxa"/>
            <w:left w:w="108" w:type="dxa"/>
            <w:bottom w:w="0" w:type="dxa"/>
            <w:right w:w="108" w:type="dxa"/>
          </w:tblCellMar>
        </w:tblPrEx>
        <w:trPr>
          <w:trHeight w:val="420" w:hRule="atLeast"/>
        </w:trPr>
        <w:tc>
          <w:tcPr>
            <w:tcW w:w="3012"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966" w:type="dxa"/>
            <w:tcBorders>
              <w:top w:val="nil"/>
              <w:left w:val="nil"/>
              <w:bottom w:val="single" w:color="000000" w:sz="4" w:space="0"/>
              <w:right w:val="nil"/>
            </w:tcBorders>
            <w:shd w:val="clear" w:color="auto" w:fill="auto"/>
            <w:noWrap/>
            <w:vAlign w:val="center"/>
          </w:tcPr>
          <w:p>
            <w:pPr>
              <w:widowControl/>
              <w:jc w:val="center"/>
              <w:rPr>
                <w:rFonts w:ascii="宋体" w:hAnsi="宋体" w:cs="Arial"/>
                <w:b/>
                <w:bCs/>
                <w:color w:val="000000"/>
                <w:kern w:val="0"/>
                <w:sz w:val="36"/>
                <w:szCs w:val="36"/>
              </w:rPr>
            </w:pPr>
            <w:r>
              <w:rPr>
                <w:rFonts w:hint="eastAsia" w:ascii="宋体" w:hAnsi="宋体" w:cs="Arial"/>
                <w:b/>
                <w:bCs/>
                <w:color w:val="000000"/>
                <w:kern w:val="0"/>
                <w:sz w:val="36"/>
                <w:szCs w:val="36"/>
              </w:rPr>
              <w:t>　</w:t>
            </w:r>
          </w:p>
        </w:tc>
        <w:tc>
          <w:tcPr>
            <w:tcW w:w="831" w:type="dxa"/>
            <w:tcBorders>
              <w:top w:val="nil"/>
              <w:left w:val="nil"/>
              <w:bottom w:val="single" w:color="000000" w:sz="4" w:space="0"/>
              <w:right w:val="nil"/>
            </w:tcBorders>
            <w:shd w:val="clear" w:color="auto" w:fill="auto"/>
            <w:noWrap/>
            <w:vAlign w:val="center"/>
          </w:tcPr>
          <w:p>
            <w:pPr>
              <w:widowControl/>
              <w:jc w:val="center"/>
              <w:rPr>
                <w:rFonts w:ascii="宋体" w:hAnsi="宋体" w:cs="Arial"/>
                <w:b/>
                <w:bCs/>
                <w:color w:val="000000"/>
                <w:kern w:val="0"/>
                <w:sz w:val="36"/>
                <w:szCs w:val="36"/>
              </w:rPr>
            </w:pPr>
            <w:r>
              <w:rPr>
                <w:rFonts w:hint="eastAsia" w:ascii="宋体" w:hAnsi="宋体" w:cs="Arial"/>
                <w:b/>
                <w:bCs/>
                <w:color w:val="000000"/>
                <w:kern w:val="0"/>
                <w:sz w:val="36"/>
                <w:szCs w:val="36"/>
              </w:rPr>
              <w:t>　</w:t>
            </w:r>
          </w:p>
        </w:tc>
        <w:tc>
          <w:tcPr>
            <w:tcW w:w="968" w:type="dxa"/>
            <w:tcBorders>
              <w:top w:val="nil"/>
              <w:left w:val="nil"/>
              <w:bottom w:val="single" w:color="000000" w:sz="4" w:space="0"/>
              <w:right w:val="nil"/>
            </w:tcBorders>
            <w:shd w:val="clear" w:color="auto" w:fill="auto"/>
            <w:noWrap/>
            <w:vAlign w:val="center"/>
          </w:tcPr>
          <w:p>
            <w:pPr>
              <w:widowControl/>
              <w:jc w:val="center"/>
              <w:rPr>
                <w:rFonts w:ascii="宋体" w:hAnsi="宋体" w:cs="Arial"/>
                <w:b/>
                <w:bCs/>
                <w:color w:val="000000"/>
                <w:kern w:val="0"/>
                <w:sz w:val="36"/>
                <w:szCs w:val="36"/>
              </w:rPr>
            </w:pPr>
            <w:r>
              <w:rPr>
                <w:rFonts w:hint="eastAsia" w:ascii="宋体" w:hAnsi="宋体" w:cs="Arial"/>
                <w:b/>
                <w:bCs/>
                <w:color w:val="000000"/>
                <w:kern w:val="0"/>
                <w:sz w:val="36"/>
                <w:szCs w:val="36"/>
              </w:rPr>
              <w:t>　</w:t>
            </w:r>
          </w:p>
        </w:tc>
        <w:tc>
          <w:tcPr>
            <w:tcW w:w="695" w:type="dxa"/>
            <w:gridSpan w:val="2"/>
            <w:tcBorders>
              <w:top w:val="nil"/>
              <w:left w:val="nil"/>
              <w:bottom w:val="single" w:color="000000" w:sz="4" w:space="0"/>
              <w:right w:val="nil"/>
            </w:tcBorders>
            <w:shd w:val="clear" w:color="auto" w:fill="auto"/>
            <w:noWrap/>
            <w:vAlign w:val="center"/>
          </w:tcPr>
          <w:p>
            <w:pPr>
              <w:widowControl/>
              <w:jc w:val="center"/>
              <w:rPr>
                <w:rFonts w:ascii="宋体" w:hAnsi="宋体" w:cs="Arial"/>
                <w:b/>
                <w:bCs/>
                <w:color w:val="000000"/>
                <w:kern w:val="0"/>
                <w:sz w:val="36"/>
                <w:szCs w:val="36"/>
              </w:rPr>
            </w:pPr>
            <w:r>
              <w:rPr>
                <w:rFonts w:hint="eastAsia" w:ascii="宋体" w:hAnsi="宋体" w:cs="Arial"/>
                <w:b/>
                <w:bCs/>
                <w:color w:val="000000"/>
                <w:kern w:val="0"/>
                <w:sz w:val="36"/>
                <w:szCs w:val="36"/>
              </w:rPr>
              <w:t>　</w:t>
            </w:r>
          </w:p>
        </w:tc>
        <w:tc>
          <w:tcPr>
            <w:tcW w:w="991" w:type="dxa"/>
            <w:tcBorders>
              <w:top w:val="nil"/>
              <w:left w:val="nil"/>
              <w:bottom w:val="single" w:color="000000" w:sz="4" w:space="0"/>
              <w:right w:val="nil"/>
            </w:tcBorders>
            <w:shd w:val="clear" w:color="auto" w:fill="auto"/>
            <w:noWrap/>
            <w:vAlign w:val="center"/>
          </w:tcPr>
          <w:p>
            <w:pPr>
              <w:widowControl/>
              <w:jc w:val="center"/>
              <w:rPr>
                <w:rFonts w:ascii="宋体" w:hAnsi="宋体" w:cs="Arial"/>
                <w:b/>
                <w:bCs/>
                <w:color w:val="000000"/>
                <w:kern w:val="0"/>
                <w:sz w:val="36"/>
                <w:szCs w:val="36"/>
              </w:rPr>
            </w:pPr>
            <w:r>
              <w:rPr>
                <w:rFonts w:hint="eastAsia" w:ascii="宋体" w:hAnsi="宋体" w:cs="Arial"/>
                <w:b/>
                <w:bCs/>
                <w:color w:val="000000"/>
                <w:kern w:val="0"/>
                <w:sz w:val="36"/>
                <w:szCs w:val="36"/>
              </w:rPr>
              <w:t>　</w:t>
            </w:r>
          </w:p>
        </w:tc>
        <w:tc>
          <w:tcPr>
            <w:tcW w:w="1382" w:type="dxa"/>
            <w:tcBorders>
              <w:top w:val="nil"/>
              <w:left w:val="nil"/>
              <w:bottom w:val="single" w:color="000000" w:sz="4" w:space="0"/>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375" w:hRule="atLeast"/>
        </w:trPr>
        <w:tc>
          <w:tcPr>
            <w:tcW w:w="8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2151"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事业单位经营支出</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上缴上级支出</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对附属单位补助支出</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合计</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576.07</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201</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一般公共服务支出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554.85</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人大事务</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554.85</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2010101</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行政运行</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2010102</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一般行政管理事务</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210.41</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210.41</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2010107</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人大代表履职能力提升</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20.00</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20.00</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208</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社会保障和就业支出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行政事业单位养老支出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2080501</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行政单位离退休</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167.76</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167.76</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2080505</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机关事业单位基本养老保险缴费支出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2080506</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机关事业单位职业年金缴费支出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221</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住房保障支出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22102</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住房改革支出</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861"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2210201</w:t>
            </w:r>
          </w:p>
        </w:tc>
        <w:tc>
          <w:tcPr>
            <w:tcW w:w="2151"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住房公积金</w:t>
            </w:r>
          </w:p>
        </w:tc>
        <w:tc>
          <w:tcPr>
            <w:tcW w:w="9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83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96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95" w:type="dxa"/>
            <w:gridSpan w:val="2"/>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991"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8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bl>
    <w:p>
      <w:pPr>
        <w:spacing w:line="560" w:lineRule="exact"/>
        <w:jc w:val="right"/>
        <w:rPr>
          <w:rFonts w:ascii="TimesNewRoman" w:hAnsi="TimesNewRoman" w:cs="TimesNewRoman"/>
          <w:kern w:val="0"/>
          <w:sz w:val="20"/>
        </w:rPr>
      </w:pPr>
    </w:p>
    <w:p>
      <w:pPr>
        <w:spacing w:line="560" w:lineRule="exact"/>
        <w:rPr>
          <w:rFonts w:ascii="TimesNewRoman" w:hAnsi="TimesNewRoman" w:cs="TimesNewRoman"/>
        </w:rPr>
      </w:pPr>
    </w:p>
    <w:p>
      <w:pPr>
        <w:spacing w:line="560" w:lineRule="exact"/>
        <w:rPr>
          <w:rFonts w:ascii="TimesNewRoman" w:hAnsi="TimesNewRoman" w:cs="TimesNewRoman"/>
          <w:kern w:val="0"/>
          <w:sz w:val="20"/>
        </w:rPr>
        <w:sectPr>
          <w:pgSz w:w="11907" w:h="16840"/>
          <w:pgMar w:top="1389" w:right="1474" w:bottom="1418" w:left="1588" w:header="851" w:footer="1021" w:gutter="0"/>
          <w:cols w:space="425" w:num="1"/>
          <w:docGrid w:type="linesAndChars" w:linePitch="312" w:charSpace="0"/>
        </w:sectPr>
      </w:pPr>
    </w:p>
    <w:p>
      <w:pPr>
        <w:spacing w:line="560" w:lineRule="exact"/>
        <w:rPr>
          <w:rFonts w:ascii="TimesNewRoman" w:hAnsi="TimesNewRoman" w:cs="TimesNewRoman"/>
          <w:kern w:val="0"/>
          <w:sz w:val="20"/>
        </w:rPr>
      </w:pPr>
      <w:r>
        <w:rPr>
          <w:rFonts w:ascii="TimesNewRoman" w:hAnsi="TimesNewRoman" w:cs="TimesNewRoman"/>
          <w:kern w:val="0"/>
          <w:sz w:val="20"/>
        </w:rPr>
        <w:t xml:space="preserve">                                                             </w:t>
      </w:r>
      <w:r>
        <w:rPr>
          <w:rFonts w:hint="eastAsia" w:ascii="TimesNewRoman" w:hAnsi="TimesNewRoman" w:cs="TimesNewRoman"/>
          <w:kern w:val="0"/>
          <w:sz w:val="20"/>
        </w:rPr>
        <w:t xml:space="preserve">    </w:t>
      </w:r>
      <w:r>
        <w:rPr>
          <w:rFonts w:ascii="TimesNewRoman" w:hAnsi="TimesNewRoman" w:cs="TimesNewRoman"/>
          <w:kern w:val="0"/>
          <w:sz w:val="20"/>
        </w:rPr>
        <w:t xml:space="preserve">          部门公开表4</w:t>
      </w:r>
    </w:p>
    <w:tbl>
      <w:tblPr>
        <w:tblStyle w:val="5"/>
        <w:tblW w:w="8845" w:type="dxa"/>
        <w:tblInd w:w="0" w:type="dxa"/>
        <w:tblLayout w:type="fixed"/>
        <w:tblCellMar>
          <w:top w:w="0" w:type="dxa"/>
          <w:left w:w="108" w:type="dxa"/>
          <w:bottom w:w="0" w:type="dxa"/>
          <w:right w:w="108" w:type="dxa"/>
        </w:tblCellMar>
      </w:tblPr>
      <w:tblGrid>
        <w:gridCol w:w="3940"/>
        <w:gridCol w:w="748"/>
        <w:gridCol w:w="3054"/>
        <w:gridCol w:w="1103"/>
      </w:tblGrid>
      <w:tr>
        <w:tblPrEx>
          <w:tblLayout w:type="fixed"/>
          <w:tblCellMar>
            <w:top w:w="0" w:type="dxa"/>
            <w:left w:w="108" w:type="dxa"/>
            <w:bottom w:w="0" w:type="dxa"/>
            <w:right w:w="108" w:type="dxa"/>
          </w:tblCellMar>
        </w:tblPrEx>
        <w:trPr>
          <w:trHeight w:val="690" w:hRule="atLeast"/>
        </w:trPr>
        <w:tc>
          <w:tcPr>
            <w:tcW w:w="8845" w:type="dxa"/>
            <w:gridSpan w:val="4"/>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6"/>
                <w:szCs w:val="36"/>
              </w:rPr>
            </w:pPr>
            <w:r>
              <w:rPr>
                <w:rFonts w:hint="eastAsia" w:ascii="黑体" w:hAnsi="黑体" w:eastAsia="黑体" w:cs="Arial"/>
                <w:color w:val="000000"/>
                <w:kern w:val="0"/>
                <w:sz w:val="36"/>
                <w:szCs w:val="36"/>
              </w:rPr>
              <w:t>2024年财政拨款收支总表</w:t>
            </w:r>
          </w:p>
        </w:tc>
      </w:tr>
      <w:tr>
        <w:tblPrEx>
          <w:tblLayout w:type="fixed"/>
          <w:tblCellMar>
            <w:top w:w="0" w:type="dxa"/>
            <w:left w:w="108" w:type="dxa"/>
            <w:bottom w:w="0" w:type="dxa"/>
            <w:right w:w="108" w:type="dxa"/>
          </w:tblCellMar>
        </w:tblPrEx>
        <w:trPr>
          <w:trHeight w:val="375" w:hRule="atLeast"/>
        </w:trPr>
        <w:tc>
          <w:tcPr>
            <w:tcW w:w="3940"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748"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375" w:hRule="atLeast"/>
        </w:trPr>
        <w:tc>
          <w:tcPr>
            <w:tcW w:w="468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xml:space="preserve">          收            入             </w:t>
            </w:r>
          </w:p>
        </w:tc>
        <w:tc>
          <w:tcPr>
            <w:tcW w:w="4157" w:type="dxa"/>
            <w:gridSpan w:val="2"/>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支          出</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xml:space="preserve"> 项目</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预算数</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项目</w:t>
            </w:r>
          </w:p>
        </w:tc>
        <w:tc>
          <w:tcPr>
            <w:tcW w:w="1103"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预算数</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一、本年收入</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一、本年支出</w:t>
            </w:r>
          </w:p>
        </w:tc>
        <w:tc>
          <w:tcPr>
            <w:tcW w:w="11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（一）一般公共预算拨款</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（一）一般公共服务支出</w:t>
            </w:r>
          </w:p>
        </w:tc>
        <w:tc>
          <w:tcPr>
            <w:tcW w:w="11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554.85</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（二）政府性基金预算拨款</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（二）外交支出</w:t>
            </w:r>
          </w:p>
        </w:tc>
        <w:tc>
          <w:tcPr>
            <w:tcW w:w="11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（三）国有资本经营预算拨款</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（三）国防支出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（四）公共安全支出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二、上年结转</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（五）教育支出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（一）一般公共预算拨款</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（六）科学技术支出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（二）政府性基金预算拨款</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（七）文化旅游体育与传媒支出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（三）国有资本经营预算拨款</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（八）社会保障和就业支出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（九）卫生健康支出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（十）节能环保支出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（十一）城乡社区支出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（十二）农林水支出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（十三）交通运输支出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（十四）资源勘探信息等事务支出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（十五）商业服务业等事务支出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（十六）金融支出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（十七）援助其他地区支出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（十八）自然资源海洋气象等支出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（十九）住房保障支出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（二十）粮油物资储备支出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（二十一）灾害防治及应急管理支出</w:t>
            </w:r>
          </w:p>
        </w:tc>
        <w:tc>
          <w:tcPr>
            <w:tcW w:w="110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（二十二）预备费</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（二十三）其他支出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（二十四）转移性支出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（二十五）债务还本支出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（二十六）债务利息支出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（二十七）债务发行费用支出</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二、年终结转结余</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（一）一般公共预算结转结余</w:t>
            </w:r>
          </w:p>
        </w:tc>
        <w:tc>
          <w:tcPr>
            <w:tcW w:w="1103"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（二）政府性基金预算结转结余</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（三）国有资本经营预算结转结余</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000000" w:fill="FFFFFF"/>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　</w:t>
            </w:r>
          </w:p>
        </w:tc>
        <w:tc>
          <w:tcPr>
            <w:tcW w:w="748" w:type="dxa"/>
            <w:tcBorders>
              <w:top w:val="nil"/>
              <w:left w:val="nil"/>
              <w:bottom w:val="single" w:color="000000" w:sz="4" w:space="0"/>
              <w:right w:val="single" w:color="000000" w:sz="4" w:space="0"/>
            </w:tcBorders>
            <w:shd w:val="clear" w:color="auto" w:fill="auto"/>
            <w:noWrap/>
            <w:vAlign w:val="bottom"/>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39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收   入   总   计</w:t>
            </w:r>
          </w:p>
        </w:tc>
        <w:tc>
          <w:tcPr>
            <w:tcW w:w="748"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3054"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支　出  总　计</w:t>
            </w:r>
          </w:p>
        </w:tc>
        <w:tc>
          <w:tcPr>
            <w:tcW w:w="110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r>
    </w:tbl>
    <w:p>
      <w:pPr>
        <w:spacing w:line="560" w:lineRule="exact"/>
        <w:ind w:left="7400" w:hanging="7400" w:hangingChars="3700"/>
        <w:rPr>
          <w:rFonts w:ascii="TimesNewRoman" w:hAnsi="TimesNewRoman" w:cs="TimesNewRoman"/>
          <w:kern w:val="0"/>
          <w:sz w:val="20"/>
        </w:rPr>
      </w:pPr>
      <w:r>
        <w:rPr>
          <w:rFonts w:ascii="TimesNewRoman" w:hAnsi="TimesNewRoman" w:cs="TimesNewRoman"/>
          <w:kern w:val="0"/>
          <w:sz w:val="20"/>
        </w:rPr>
        <w:t xml:space="preserve">                                                          </w:t>
      </w:r>
    </w:p>
    <w:p>
      <w:pPr>
        <w:spacing w:line="560" w:lineRule="exact"/>
        <w:jc w:val="right"/>
        <w:rPr>
          <w:rFonts w:ascii="TimesNewRoman" w:hAnsi="TimesNewRoman" w:cs="TimesNewRoman"/>
          <w:kern w:val="0"/>
          <w:sz w:val="20"/>
        </w:rPr>
        <w:sectPr>
          <w:pgSz w:w="11907" w:h="16840"/>
          <w:pgMar w:top="2098" w:right="1474" w:bottom="1985" w:left="1588" w:header="851" w:footer="1021" w:gutter="0"/>
          <w:cols w:space="425" w:num="1"/>
          <w:docGrid w:type="lines" w:linePitch="312" w:charSpace="0"/>
        </w:sectPr>
      </w:pPr>
    </w:p>
    <w:p>
      <w:pPr>
        <w:spacing w:line="560" w:lineRule="exact"/>
        <w:jc w:val="right"/>
        <w:rPr>
          <w:rFonts w:ascii="TimesNewRoman" w:hAnsi="TimesNewRoman" w:cs="TimesNewRoman"/>
          <w:kern w:val="0"/>
          <w:sz w:val="20"/>
        </w:rPr>
      </w:pPr>
      <w:r>
        <w:rPr>
          <w:rFonts w:ascii="TimesNewRoman" w:hAnsi="TimesNewRoman" w:cs="TimesNewRoman"/>
          <w:kern w:val="0"/>
          <w:sz w:val="20"/>
        </w:rPr>
        <w:t>部门公开表5</w:t>
      </w:r>
    </w:p>
    <w:tbl>
      <w:tblPr>
        <w:tblStyle w:val="5"/>
        <w:tblW w:w="8845" w:type="dxa"/>
        <w:tblInd w:w="0" w:type="dxa"/>
        <w:tblLayout w:type="fixed"/>
        <w:tblCellMar>
          <w:top w:w="0" w:type="dxa"/>
          <w:left w:w="108" w:type="dxa"/>
          <w:bottom w:w="0" w:type="dxa"/>
          <w:right w:w="108" w:type="dxa"/>
        </w:tblCellMar>
      </w:tblPr>
      <w:tblGrid>
        <w:gridCol w:w="1224"/>
        <w:gridCol w:w="3516"/>
        <w:gridCol w:w="766"/>
        <w:gridCol w:w="766"/>
        <w:gridCol w:w="766"/>
        <w:gridCol w:w="674"/>
        <w:gridCol w:w="1133"/>
      </w:tblGrid>
      <w:tr>
        <w:tblPrEx>
          <w:tblLayout w:type="fixed"/>
          <w:tblCellMar>
            <w:top w:w="0" w:type="dxa"/>
            <w:left w:w="108" w:type="dxa"/>
            <w:bottom w:w="0" w:type="dxa"/>
            <w:right w:w="108" w:type="dxa"/>
          </w:tblCellMar>
        </w:tblPrEx>
        <w:trPr>
          <w:trHeight w:val="525" w:hRule="atLeast"/>
        </w:trPr>
        <w:tc>
          <w:tcPr>
            <w:tcW w:w="8845" w:type="dxa"/>
            <w:gridSpan w:val="7"/>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2024年部门一般公共预算支出表</w:t>
            </w:r>
          </w:p>
        </w:tc>
      </w:tr>
      <w:tr>
        <w:tblPrEx>
          <w:tblLayout w:type="fixed"/>
          <w:tblCellMar>
            <w:top w:w="0" w:type="dxa"/>
            <w:left w:w="108" w:type="dxa"/>
            <w:bottom w:w="0" w:type="dxa"/>
            <w:right w:w="108" w:type="dxa"/>
          </w:tblCellMar>
        </w:tblPrEx>
        <w:trPr>
          <w:trHeight w:val="360" w:hRule="atLeast"/>
        </w:trPr>
        <w:tc>
          <w:tcPr>
            <w:tcW w:w="4740"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766"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c>
          <w:tcPr>
            <w:tcW w:w="766" w:type="dxa"/>
            <w:tcBorders>
              <w:top w:val="nil"/>
              <w:left w:val="nil"/>
              <w:bottom w:val="nil"/>
              <w:right w:val="nil"/>
            </w:tcBorders>
            <w:shd w:val="clear" w:color="auto" w:fill="auto"/>
            <w:noWrap/>
            <w:vAlign w:val="center"/>
          </w:tcPr>
          <w:p>
            <w:pPr>
              <w:widowControl/>
              <w:jc w:val="left"/>
              <w:rPr>
                <w:rFonts w:eastAsia="Times New Roman"/>
                <w:kern w:val="0"/>
                <w:sz w:val="20"/>
                <w:szCs w:val="20"/>
              </w:rPr>
            </w:pPr>
          </w:p>
        </w:tc>
        <w:tc>
          <w:tcPr>
            <w:tcW w:w="766" w:type="dxa"/>
            <w:tcBorders>
              <w:top w:val="nil"/>
              <w:left w:val="nil"/>
              <w:bottom w:val="nil"/>
              <w:right w:val="nil"/>
            </w:tcBorders>
            <w:shd w:val="clear" w:color="auto" w:fill="auto"/>
            <w:noWrap/>
            <w:vAlign w:val="center"/>
          </w:tcPr>
          <w:p>
            <w:pPr>
              <w:widowControl/>
              <w:jc w:val="left"/>
              <w:rPr>
                <w:rFonts w:eastAsia="Times New Roman"/>
                <w:kern w:val="0"/>
                <w:sz w:val="20"/>
                <w:szCs w:val="20"/>
              </w:rPr>
            </w:pPr>
          </w:p>
        </w:tc>
        <w:tc>
          <w:tcPr>
            <w:tcW w:w="674" w:type="dxa"/>
            <w:tcBorders>
              <w:top w:val="nil"/>
              <w:left w:val="nil"/>
              <w:bottom w:val="nil"/>
              <w:right w:val="nil"/>
            </w:tcBorders>
            <w:shd w:val="clear" w:color="auto" w:fill="auto"/>
            <w:noWrap/>
            <w:vAlign w:val="center"/>
          </w:tcPr>
          <w:p>
            <w:pPr>
              <w:widowControl/>
              <w:jc w:val="left"/>
              <w:rPr>
                <w:rFonts w:eastAsia="Times New Roman"/>
                <w:kern w:val="0"/>
                <w:sz w:val="20"/>
                <w:szCs w:val="20"/>
              </w:rPr>
            </w:pPr>
          </w:p>
        </w:tc>
        <w:tc>
          <w:tcPr>
            <w:tcW w:w="1133" w:type="dxa"/>
            <w:tcBorders>
              <w:top w:val="nil"/>
              <w:left w:val="nil"/>
              <w:bottom w:val="nil"/>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375" w:hRule="atLeast"/>
        </w:trPr>
        <w:tc>
          <w:tcPr>
            <w:tcW w:w="1224"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科目编码</w:t>
            </w:r>
          </w:p>
        </w:tc>
        <w:tc>
          <w:tcPr>
            <w:tcW w:w="3516"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科目名称</w:t>
            </w:r>
          </w:p>
        </w:tc>
        <w:tc>
          <w:tcPr>
            <w:tcW w:w="7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合计</w:t>
            </w:r>
          </w:p>
        </w:tc>
        <w:tc>
          <w:tcPr>
            <w:tcW w:w="220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基本支出</w:t>
            </w:r>
          </w:p>
        </w:tc>
        <w:tc>
          <w:tcPr>
            <w:tcW w:w="1133"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项目支出</w:t>
            </w:r>
          </w:p>
        </w:tc>
      </w:tr>
      <w:tr>
        <w:tblPrEx>
          <w:tblLayout w:type="fixed"/>
          <w:tblCellMar>
            <w:top w:w="0" w:type="dxa"/>
            <w:left w:w="108" w:type="dxa"/>
            <w:bottom w:w="0" w:type="dxa"/>
            <w:right w:w="108" w:type="dxa"/>
          </w:tblCellMar>
        </w:tblPrEx>
        <w:trPr>
          <w:trHeight w:val="375" w:hRule="atLeast"/>
        </w:trPr>
        <w:tc>
          <w:tcPr>
            <w:tcW w:w="1224" w:type="dxa"/>
            <w:vMerge w:val="continue"/>
            <w:tcBorders>
              <w:top w:val="single" w:color="000000" w:sz="4" w:space="0"/>
              <w:left w:val="single" w:color="000000" w:sz="4" w:space="0"/>
              <w:bottom w:val="nil"/>
              <w:right w:val="single" w:color="000000" w:sz="4" w:space="0"/>
            </w:tcBorders>
            <w:vAlign w:val="center"/>
          </w:tcPr>
          <w:p>
            <w:pPr>
              <w:widowControl/>
              <w:jc w:val="left"/>
              <w:rPr>
                <w:rFonts w:ascii="宋体" w:hAnsi="宋体" w:cs="Arial"/>
                <w:color w:val="000000"/>
                <w:kern w:val="0"/>
                <w:sz w:val="20"/>
                <w:szCs w:val="20"/>
              </w:rPr>
            </w:pPr>
          </w:p>
        </w:tc>
        <w:tc>
          <w:tcPr>
            <w:tcW w:w="3516" w:type="dxa"/>
            <w:vMerge w:val="continue"/>
            <w:tcBorders>
              <w:top w:val="single" w:color="000000" w:sz="4" w:space="0"/>
              <w:left w:val="single" w:color="000000" w:sz="4" w:space="0"/>
              <w:bottom w:val="nil"/>
              <w:right w:val="single" w:color="000000" w:sz="4" w:space="0"/>
            </w:tcBorders>
            <w:vAlign w:val="center"/>
          </w:tcPr>
          <w:p>
            <w:pPr>
              <w:widowControl/>
              <w:jc w:val="left"/>
              <w:rPr>
                <w:rFonts w:ascii="宋体" w:hAnsi="宋体" w:cs="Arial"/>
                <w:color w:val="000000"/>
                <w:kern w:val="0"/>
                <w:sz w:val="20"/>
                <w:szCs w:val="20"/>
              </w:rPr>
            </w:pPr>
          </w:p>
        </w:tc>
        <w:tc>
          <w:tcPr>
            <w:tcW w:w="76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0"/>
                <w:szCs w:val="20"/>
              </w:rPr>
            </w:pPr>
          </w:p>
        </w:tc>
        <w:tc>
          <w:tcPr>
            <w:tcW w:w="76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小计</w:t>
            </w:r>
          </w:p>
        </w:tc>
        <w:tc>
          <w:tcPr>
            <w:tcW w:w="76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人员经费</w:t>
            </w:r>
          </w:p>
        </w:tc>
        <w:tc>
          <w:tcPr>
            <w:tcW w:w="674"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公用经费</w:t>
            </w:r>
          </w:p>
        </w:tc>
        <w:tc>
          <w:tcPr>
            <w:tcW w:w="1133" w:type="dxa"/>
            <w:vMerge w:val="continue"/>
            <w:tcBorders>
              <w:top w:val="single" w:color="000000" w:sz="4" w:space="0"/>
              <w:left w:val="single" w:color="000000" w:sz="4" w:space="0"/>
              <w:bottom w:val="nil"/>
              <w:right w:val="single" w:color="000000" w:sz="4" w:space="0"/>
            </w:tcBorders>
            <w:vAlign w:val="center"/>
          </w:tcPr>
          <w:p>
            <w:pPr>
              <w:widowControl/>
              <w:jc w:val="left"/>
              <w:rPr>
                <w:rFonts w:ascii="宋体" w:hAnsi="宋体" w:cs="Arial"/>
                <w:color w:val="000000"/>
                <w:kern w:val="0"/>
                <w:sz w:val="20"/>
                <w:szCs w:val="20"/>
              </w:rPr>
            </w:pPr>
          </w:p>
        </w:tc>
      </w:tr>
      <w:tr>
        <w:tblPrEx>
          <w:tblLayout w:type="fixed"/>
          <w:tblCellMar>
            <w:top w:w="0" w:type="dxa"/>
            <w:left w:w="108" w:type="dxa"/>
            <w:bottom w:w="0" w:type="dxa"/>
            <w:right w:w="108" w:type="dxa"/>
          </w:tblCellMar>
        </w:tblPrEx>
        <w:trPr>
          <w:trHeight w:val="375" w:hRule="atLeast"/>
        </w:trPr>
        <w:tc>
          <w:tcPr>
            <w:tcW w:w="12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51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合计</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806.48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576.07</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520.46</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55.61</w:t>
            </w:r>
          </w:p>
        </w:tc>
        <w:tc>
          <w:tcPr>
            <w:tcW w:w="1133"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201</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一般公共服务支出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554.85</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268.83</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55.61</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人大事务</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554.85</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268.83</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55.61</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2010101</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行政运行</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324.44</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268.83</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55.61</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2010102</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一般行政管理事务</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210.41</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210.41</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2010107</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人大代表履职能力提升</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20.00</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20.00</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208</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社会保障和就业支出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行政事业单位养老支出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223.68</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2080501</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行政单位离退休</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167.76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167.76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167.76</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2080505</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机关事业单位基本养老保险缴费支出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2080506</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机关事业单位职业年金缴费支出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221</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住房保障支出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22102</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住房改革支出</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24"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2210201</w:t>
            </w:r>
          </w:p>
        </w:tc>
        <w:tc>
          <w:tcPr>
            <w:tcW w:w="35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住房公积金</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76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674"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133"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bl>
    <w:p>
      <w:pPr>
        <w:spacing w:line="560" w:lineRule="exact"/>
        <w:ind w:left="7400" w:hanging="7400" w:hangingChars="3700"/>
        <w:rPr>
          <w:rFonts w:ascii="TimesNewRoman" w:hAnsi="TimesNewRoman" w:cs="TimesNewRoman"/>
          <w:kern w:val="0"/>
          <w:sz w:val="20"/>
        </w:rPr>
      </w:pPr>
      <w:r>
        <w:rPr>
          <w:rFonts w:ascii="TimesNewRoman" w:hAnsi="TimesNewRoman" w:cs="TimesNewRoman"/>
          <w:kern w:val="0"/>
          <w:sz w:val="20"/>
        </w:rPr>
        <w:t xml:space="preserve">                                                                   </w:t>
      </w:r>
    </w:p>
    <w:p>
      <w:pPr>
        <w:spacing w:line="560" w:lineRule="exact"/>
        <w:ind w:left="903" w:leftChars="430"/>
        <w:jc w:val="right"/>
        <w:rPr>
          <w:rFonts w:ascii="TimesNewRoman" w:hAnsi="TimesNewRoman" w:cs="TimesNewRoman"/>
          <w:kern w:val="0"/>
          <w:sz w:val="20"/>
        </w:rPr>
      </w:pPr>
      <w:r>
        <w:rPr>
          <w:rFonts w:ascii="TimesNewRoman" w:hAnsi="TimesNewRoman" w:cs="TimesNewRoman"/>
          <w:kern w:val="0"/>
          <w:sz w:val="20"/>
        </w:rPr>
        <w:t>部门</w:t>
      </w:r>
      <w:r>
        <w:rPr>
          <w:rFonts w:ascii="TimesNewRoman" w:hAnsi="TimesNewRoman" w:cs="TimesNewRoman"/>
          <w:kern w:val="0"/>
          <w:sz w:val="20"/>
          <w:u w:val="single"/>
        </w:rPr>
        <w:t>（单位）</w:t>
      </w:r>
      <w:r>
        <w:rPr>
          <w:rFonts w:ascii="TimesNewRoman" w:hAnsi="TimesNewRoman" w:cs="TimesNewRoman"/>
          <w:kern w:val="0"/>
          <w:sz w:val="20"/>
        </w:rPr>
        <w:t>公开表6</w:t>
      </w:r>
    </w:p>
    <w:tbl>
      <w:tblPr>
        <w:tblStyle w:val="5"/>
        <w:tblW w:w="8845" w:type="dxa"/>
        <w:tblInd w:w="0" w:type="dxa"/>
        <w:tblLayout w:type="fixed"/>
        <w:tblCellMar>
          <w:top w:w="0" w:type="dxa"/>
          <w:left w:w="108" w:type="dxa"/>
          <w:bottom w:w="0" w:type="dxa"/>
          <w:right w:w="108" w:type="dxa"/>
        </w:tblCellMar>
      </w:tblPr>
      <w:tblGrid>
        <w:gridCol w:w="1237"/>
        <w:gridCol w:w="4116"/>
        <w:gridCol w:w="856"/>
        <w:gridCol w:w="1237"/>
        <w:gridCol w:w="1399"/>
      </w:tblGrid>
      <w:tr>
        <w:tblPrEx>
          <w:tblLayout w:type="fixed"/>
          <w:tblCellMar>
            <w:top w:w="0" w:type="dxa"/>
            <w:left w:w="108" w:type="dxa"/>
            <w:bottom w:w="0" w:type="dxa"/>
            <w:right w:w="108" w:type="dxa"/>
          </w:tblCellMar>
        </w:tblPrEx>
        <w:trPr>
          <w:trHeight w:val="645" w:hRule="atLeast"/>
        </w:trPr>
        <w:tc>
          <w:tcPr>
            <w:tcW w:w="8845" w:type="dxa"/>
            <w:gridSpan w:val="5"/>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2024年部门一般公共预算基本支出表</w:t>
            </w:r>
          </w:p>
        </w:tc>
      </w:tr>
      <w:tr>
        <w:tblPrEx>
          <w:tblLayout w:type="fixed"/>
          <w:tblCellMar>
            <w:top w:w="0" w:type="dxa"/>
            <w:left w:w="108" w:type="dxa"/>
            <w:bottom w:w="0" w:type="dxa"/>
            <w:right w:w="108" w:type="dxa"/>
          </w:tblCellMar>
        </w:tblPrEx>
        <w:trPr>
          <w:trHeight w:val="360" w:hRule="atLeast"/>
        </w:trPr>
        <w:tc>
          <w:tcPr>
            <w:tcW w:w="5353"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856"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237"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399" w:type="dxa"/>
            <w:tcBorders>
              <w:top w:val="nil"/>
              <w:left w:val="nil"/>
              <w:bottom w:val="nil"/>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420" w:hRule="atLeast"/>
        </w:trPr>
        <w:tc>
          <w:tcPr>
            <w:tcW w:w="535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部门预算支出经济分类科目</w:t>
            </w:r>
          </w:p>
        </w:tc>
        <w:tc>
          <w:tcPr>
            <w:tcW w:w="3492" w:type="dxa"/>
            <w:gridSpan w:val="3"/>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本年一般公共预算基本支出</w:t>
            </w:r>
          </w:p>
        </w:tc>
      </w:tr>
      <w:tr>
        <w:tblPrEx>
          <w:tblLayout w:type="fixed"/>
          <w:tblCellMar>
            <w:top w:w="0" w:type="dxa"/>
            <w:left w:w="108" w:type="dxa"/>
            <w:bottom w:w="0" w:type="dxa"/>
            <w:right w:w="108" w:type="dxa"/>
          </w:tblCellMar>
        </w:tblPrEx>
        <w:trPr>
          <w:trHeight w:val="420"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人员经费</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公用经费</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合计</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576.07</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520.46</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55.61</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301</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工资福利支出</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347.82</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347.82</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30101</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基本工资</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114.98</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114.98</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30102</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津贴补贴</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50.61</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50.61</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30103</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奖金</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67.38</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67.38</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30108</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机关事业单位基本养老保险缴费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37.28</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30109</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职业年金缴费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18.64</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30110</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职工基本医疗保险缴费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12.09</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12.09</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30111</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公务员医疗补助缴费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18.52</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18.52</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30112</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其他社会保障缴费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0.35</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0.35</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30113</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住房公积金</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27.96</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30199</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其他工资福利支出</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0.02</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0.02</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302</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商品和服务支出</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52.41</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52.41</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30201</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办公费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15.00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15.00</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30215</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会议费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3.60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3.60</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30228</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工会经费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2.80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2.80</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30239</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其他交通费用</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22.02</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22.02</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30299</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其他商品和服务支出</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9.00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9.00</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303</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对个人和家庭的补助</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172.64</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172.64</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30301</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离休费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14.96</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14.96</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30302</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退休费</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152.80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152.80</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30305</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生活补助</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1.88</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1.88</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30399</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其他对个人和家庭的补助</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3.00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3.00</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310</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资本性支出</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r>
      <w:tr>
        <w:tblPrEx>
          <w:tblLayout w:type="fixed"/>
          <w:tblCellMar>
            <w:top w:w="0" w:type="dxa"/>
            <w:left w:w="108" w:type="dxa"/>
            <w:bottom w:w="0" w:type="dxa"/>
            <w:right w:w="108" w:type="dxa"/>
          </w:tblCellMar>
        </w:tblPrEx>
        <w:trPr>
          <w:trHeight w:val="375" w:hRule="atLeast"/>
        </w:trPr>
        <w:tc>
          <w:tcPr>
            <w:tcW w:w="1237"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31002</w:t>
            </w:r>
          </w:p>
        </w:tc>
        <w:tc>
          <w:tcPr>
            <w:tcW w:w="4116" w:type="dxa"/>
            <w:tcBorders>
              <w:top w:val="nil"/>
              <w:left w:val="nil"/>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办公设备购置</w:t>
            </w:r>
          </w:p>
        </w:tc>
        <w:tc>
          <w:tcPr>
            <w:tcW w:w="85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1237"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39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r>
    </w:tbl>
    <w:p>
      <w:pPr>
        <w:spacing w:line="560" w:lineRule="exact"/>
        <w:ind w:left="7400" w:hanging="7400" w:hangingChars="3700"/>
        <w:rPr>
          <w:rFonts w:ascii="TimesNewRoman" w:hAnsi="TimesNewRoman" w:cs="TimesNewRoman"/>
          <w:kern w:val="0"/>
          <w:sz w:val="20"/>
        </w:rPr>
      </w:pPr>
      <w:r>
        <w:rPr>
          <w:rFonts w:ascii="TimesNewRoman" w:hAnsi="TimesNewRoman" w:cs="TimesNewRoman"/>
          <w:kern w:val="0"/>
          <w:sz w:val="20"/>
        </w:rPr>
        <w:t xml:space="preserve">                                                                 </w:t>
      </w:r>
    </w:p>
    <w:p>
      <w:pPr>
        <w:spacing w:line="560" w:lineRule="exact"/>
        <w:rPr>
          <w:rFonts w:ascii="TimesNewRoman" w:hAnsi="TimesNewRoman" w:cs="TimesNewRoman"/>
        </w:rPr>
      </w:pPr>
    </w:p>
    <w:p>
      <w:pPr>
        <w:spacing w:line="560" w:lineRule="exact"/>
        <w:jc w:val="right"/>
        <w:rPr>
          <w:rFonts w:ascii="TimesNewRoman" w:hAnsi="TimesNewRoman" w:cs="TimesNewRoman"/>
          <w:kern w:val="0"/>
          <w:sz w:val="20"/>
        </w:rPr>
      </w:pPr>
      <w:r>
        <w:rPr>
          <w:rFonts w:ascii="TimesNewRoman" w:hAnsi="TimesNewRoman" w:cs="TimesNewRoman"/>
          <w:kern w:val="0"/>
          <w:sz w:val="20"/>
        </w:rPr>
        <w:t xml:space="preserve">                                                        </w:t>
      </w:r>
      <w:r>
        <w:rPr>
          <w:rFonts w:hint="eastAsia" w:ascii="TimesNewRoman" w:hAnsi="TimesNewRoman" w:cs="TimesNewRoman"/>
          <w:kern w:val="0"/>
          <w:sz w:val="20"/>
        </w:rPr>
        <w:t xml:space="preserve">     </w:t>
      </w:r>
      <w:r>
        <w:rPr>
          <w:rFonts w:ascii="TimesNewRoman" w:hAnsi="TimesNewRoman" w:cs="TimesNewRoman"/>
          <w:kern w:val="0"/>
          <w:sz w:val="20"/>
        </w:rPr>
        <w:t>部门公开表7</w:t>
      </w:r>
    </w:p>
    <w:tbl>
      <w:tblPr>
        <w:tblStyle w:val="5"/>
        <w:tblW w:w="8845" w:type="dxa"/>
        <w:tblInd w:w="0" w:type="dxa"/>
        <w:tblLayout w:type="fixed"/>
        <w:tblCellMar>
          <w:top w:w="0" w:type="dxa"/>
          <w:left w:w="108" w:type="dxa"/>
          <w:bottom w:w="0" w:type="dxa"/>
          <w:right w:w="108" w:type="dxa"/>
        </w:tblCellMar>
      </w:tblPr>
      <w:tblGrid>
        <w:gridCol w:w="1030"/>
        <w:gridCol w:w="3642"/>
        <w:gridCol w:w="1183"/>
        <w:gridCol w:w="1495"/>
        <w:gridCol w:w="1495"/>
      </w:tblGrid>
      <w:tr>
        <w:tblPrEx>
          <w:tblLayout w:type="fixed"/>
          <w:tblCellMar>
            <w:top w:w="0" w:type="dxa"/>
            <w:left w:w="108" w:type="dxa"/>
            <w:bottom w:w="0" w:type="dxa"/>
            <w:right w:w="108" w:type="dxa"/>
          </w:tblCellMar>
        </w:tblPrEx>
        <w:trPr>
          <w:trHeight w:val="795" w:hRule="atLeast"/>
        </w:trPr>
        <w:tc>
          <w:tcPr>
            <w:tcW w:w="8845" w:type="dxa"/>
            <w:gridSpan w:val="5"/>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2024年部门政府性基金预算支出表</w:t>
            </w:r>
          </w:p>
        </w:tc>
      </w:tr>
      <w:tr>
        <w:tblPrEx>
          <w:tblLayout w:type="fixed"/>
          <w:tblCellMar>
            <w:top w:w="0" w:type="dxa"/>
            <w:left w:w="108" w:type="dxa"/>
            <w:bottom w:w="0" w:type="dxa"/>
            <w:right w:w="108" w:type="dxa"/>
          </w:tblCellMar>
        </w:tblPrEx>
        <w:trPr>
          <w:trHeight w:val="360" w:hRule="atLeast"/>
        </w:trPr>
        <w:tc>
          <w:tcPr>
            <w:tcW w:w="4672"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1183"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95"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495" w:type="dxa"/>
            <w:tcBorders>
              <w:top w:val="nil"/>
              <w:left w:val="nil"/>
              <w:bottom w:val="nil"/>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525" w:hRule="atLeast"/>
        </w:trPr>
        <w:tc>
          <w:tcPr>
            <w:tcW w:w="10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科目编码</w:t>
            </w:r>
          </w:p>
        </w:tc>
        <w:tc>
          <w:tcPr>
            <w:tcW w:w="36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科目名称</w:t>
            </w:r>
          </w:p>
        </w:tc>
        <w:tc>
          <w:tcPr>
            <w:tcW w:w="4173"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本年政府性基金预算支出</w:t>
            </w:r>
          </w:p>
        </w:tc>
      </w:tr>
      <w:tr>
        <w:tblPrEx>
          <w:tblLayout w:type="fixed"/>
          <w:tblCellMar>
            <w:top w:w="0" w:type="dxa"/>
            <w:left w:w="108" w:type="dxa"/>
            <w:bottom w:w="0" w:type="dxa"/>
            <w:right w:w="108" w:type="dxa"/>
          </w:tblCellMar>
        </w:tblPrEx>
        <w:trPr>
          <w:trHeight w:val="525" w:hRule="atLeast"/>
        </w:trPr>
        <w:tc>
          <w:tcPr>
            <w:tcW w:w="103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364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1183"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49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基本支出</w:t>
            </w:r>
          </w:p>
        </w:tc>
        <w:tc>
          <w:tcPr>
            <w:tcW w:w="1495"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项目支出</w:t>
            </w:r>
          </w:p>
        </w:tc>
      </w:tr>
    </w:tbl>
    <w:p>
      <w:pPr>
        <w:widowControl/>
        <w:spacing w:line="560" w:lineRule="exact"/>
        <w:jc w:val="left"/>
        <w:rPr>
          <w:rFonts w:ascii="TimesNewRoman" w:hAnsi="TimesNewRoman" w:cs="TimesNewRoman"/>
          <w:kern w:val="0"/>
          <w:sz w:val="24"/>
        </w:rPr>
      </w:pPr>
      <w:r>
        <w:rPr>
          <w:rFonts w:hint="eastAsia" w:ascii="TimesNewRoman" w:hAnsi="TimesNewRoman" w:cs="TimesNewRoman"/>
          <w:kern w:val="0"/>
          <w:sz w:val="24"/>
        </w:rPr>
        <w:t>寿县人大常委会办公室</w:t>
      </w:r>
      <w:r>
        <w:rPr>
          <w:rFonts w:ascii="TimesNewRoman" w:hAnsi="TimesNewRoman" w:cs="TimesNewRoman"/>
          <w:kern w:val="0"/>
          <w:sz w:val="24"/>
        </w:rPr>
        <w:t>没有政府性基金预算拨款收入，也没有政府性基金预算拨款安排的支出，故本表无数据</w:t>
      </w:r>
      <w:r>
        <w:rPr>
          <w:rFonts w:hint="eastAsia" w:ascii="TimesNewRoman" w:hAnsi="TimesNewRoman" w:cs="TimesNewRoman"/>
          <w:kern w:val="0"/>
          <w:sz w:val="24"/>
        </w:rPr>
        <w:t>。</w:t>
      </w:r>
    </w:p>
    <w:p>
      <w:pPr>
        <w:pStyle w:val="4"/>
        <w:adjustRightInd w:val="0"/>
        <w:snapToGrid w:val="0"/>
        <w:spacing w:before="100" w:after="156" w:afterLines="50" w:afterAutospacing="0" w:line="560" w:lineRule="exact"/>
        <w:ind w:right="102"/>
        <w:jc w:val="right"/>
        <w:rPr>
          <w:rFonts w:ascii="TimesNewRoman" w:hAnsi="TimesNewRoman" w:eastAsia="黑体" w:cs="TimesNewRoman"/>
          <w:bCs/>
          <w:sz w:val="36"/>
          <w:szCs w:val="36"/>
        </w:rPr>
      </w:pPr>
      <w:r>
        <w:rPr>
          <w:rFonts w:ascii="TimesNewRoman" w:hAnsi="TimesNewRoman" w:cs="TimesNewRoman"/>
          <w:sz w:val="20"/>
          <w:szCs w:val="20"/>
        </w:rPr>
        <w:t xml:space="preserve"> </w:t>
      </w:r>
      <w:r>
        <w:rPr>
          <w:rFonts w:ascii="TimesNewRoman" w:hAnsi="TimesNewRoman" w:eastAsia="仿宋_GB2312" w:cs="TimesNewRoman"/>
          <w:sz w:val="20"/>
          <w:szCs w:val="20"/>
        </w:rPr>
        <w:t xml:space="preserve"> 部门公开表8</w:t>
      </w:r>
    </w:p>
    <w:tbl>
      <w:tblPr>
        <w:tblStyle w:val="5"/>
        <w:tblW w:w="8845" w:type="dxa"/>
        <w:tblInd w:w="0" w:type="dxa"/>
        <w:tblLayout w:type="fixed"/>
        <w:tblCellMar>
          <w:top w:w="0" w:type="dxa"/>
          <w:left w:w="108" w:type="dxa"/>
          <w:bottom w:w="0" w:type="dxa"/>
          <w:right w:w="108" w:type="dxa"/>
        </w:tblCellMar>
      </w:tblPr>
      <w:tblGrid>
        <w:gridCol w:w="1978"/>
        <w:gridCol w:w="1978"/>
        <w:gridCol w:w="1025"/>
        <w:gridCol w:w="1589"/>
        <w:gridCol w:w="2275"/>
      </w:tblGrid>
      <w:tr>
        <w:tblPrEx>
          <w:tblLayout w:type="fixed"/>
          <w:tblCellMar>
            <w:top w:w="0" w:type="dxa"/>
            <w:left w:w="108" w:type="dxa"/>
            <w:bottom w:w="0" w:type="dxa"/>
            <w:right w:w="108" w:type="dxa"/>
          </w:tblCellMar>
        </w:tblPrEx>
        <w:trPr>
          <w:trHeight w:val="441" w:hRule="atLeast"/>
        </w:trPr>
        <w:tc>
          <w:tcPr>
            <w:tcW w:w="8845" w:type="dxa"/>
            <w:gridSpan w:val="5"/>
            <w:tcBorders>
              <w:top w:val="nil"/>
              <w:left w:val="nil"/>
              <w:bottom w:val="nil"/>
              <w:right w:val="nil"/>
            </w:tcBorders>
            <w:vAlign w:val="center"/>
          </w:tcPr>
          <w:p>
            <w:pPr>
              <w:spacing w:line="560" w:lineRule="exact"/>
              <w:jc w:val="center"/>
              <w:rPr>
                <w:rFonts w:ascii="宋体" w:hAnsi="宋体" w:cs="TimesNewRoman"/>
                <w:b/>
                <w:bCs/>
                <w:kern w:val="0"/>
                <w:sz w:val="28"/>
                <w:szCs w:val="32"/>
              </w:rPr>
            </w:pPr>
            <w:r>
              <w:rPr>
                <w:rFonts w:hint="eastAsia" w:ascii="宋体" w:hAnsi="宋体" w:cs="TimesNewRoman"/>
                <w:b/>
                <w:bCs/>
                <w:kern w:val="0"/>
                <w:sz w:val="28"/>
                <w:szCs w:val="32"/>
              </w:rPr>
              <w:t>2024</w:t>
            </w:r>
            <w:r>
              <w:rPr>
                <w:rFonts w:ascii="宋体" w:hAnsi="宋体" w:cs="TimesNewRoman"/>
                <w:b/>
                <w:bCs/>
                <w:kern w:val="0"/>
                <w:sz w:val="28"/>
                <w:szCs w:val="32"/>
              </w:rPr>
              <w:t>年国有资本经营预算支出表</w:t>
            </w:r>
          </w:p>
        </w:tc>
      </w:tr>
      <w:tr>
        <w:tblPrEx>
          <w:tblLayout w:type="fixed"/>
          <w:tblCellMar>
            <w:top w:w="0" w:type="dxa"/>
            <w:left w:w="108" w:type="dxa"/>
            <w:bottom w:w="0" w:type="dxa"/>
            <w:right w:w="108" w:type="dxa"/>
          </w:tblCellMar>
        </w:tblPrEx>
        <w:trPr>
          <w:trHeight w:val="299" w:hRule="atLeast"/>
        </w:trPr>
        <w:tc>
          <w:tcPr>
            <w:tcW w:w="3956" w:type="dxa"/>
            <w:gridSpan w:val="2"/>
            <w:tcBorders>
              <w:top w:val="nil"/>
              <w:left w:val="nil"/>
              <w:bottom w:val="single" w:color="auto" w:sz="4" w:space="0"/>
              <w:right w:val="nil"/>
            </w:tcBorders>
            <w:vAlign w:val="center"/>
          </w:tcPr>
          <w:p>
            <w:pPr>
              <w:widowControl/>
              <w:spacing w:line="560" w:lineRule="exact"/>
              <w:jc w:val="left"/>
              <w:rPr>
                <w:rFonts w:ascii="TimesNewRoman" w:hAnsi="TimesNewRoman" w:cs="TimesNewRoman"/>
                <w:kern w:val="0"/>
                <w:sz w:val="20"/>
              </w:rPr>
            </w:pPr>
            <w:r>
              <w:rPr>
                <w:rFonts w:hint="eastAsia" w:ascii="宋体" w:hAnsi="宋体" w:cs="Arial"/>
                <w:color w:val="000000"/>
                <w:kern w:val="0"/>
                <w:sz w:val="20"/>
                <w:szCs w:val="20"/>
              </w:rPr>
              <w:t>部门名称：寿县人民代表大会常务委员会办公室</w:t>
            </w:r>
          </w:p>
        </w:tc>
        <w:tc>
          <w:tcPr>
            <w:tcW w:w="1025" w:type="dxa"/>
            <w:tcBorders>
              <w:top w:val="nil"/>
              <w:left w:val="nil"/>
              <w:bottom w:val="nil"/>
              <w:right w:val="nil"/>
            </w:tcBorders>
            <w:vAlign w:val="center"/>
          </w:tcPr>
          <w:p>
            <w:pPr>
              <w:widowControl/>
              <w:spacing w:line="560" w:lineRule="exact"/>
              <w:jc w:val="left"/>
              <w:rPr>
                <w:rFonts w:ascii="TimesNewRoman" w:hAnsi="TimesNewRoman" w:cs="TimesNewRoman"/>
                <w:kern w:val="0"/>
                <w:sz w:val="20"/>
              </w:rPr>
            </w:pPr>
          </w:p>
        </w:tc>
        <w:tc>
          <w:tcPr>
            <w:tcW w:w="1589" w:type="dxa"/>
            <w:tcBorders>
              <w:top w:val="nil"/>
              <w:left w:val="nil"/>
              <w:bottom w:val="nil"/>
              <w:right w:val="nil"/>
            </w:tcBorders>
            <w:vAlign w:val="center"/>
          </w:tcPr>
          <w:p>
            <w:pPr>
              <w:widowControl/>
              <w:spacing w:line="560" w:lineRule="exact"/>
              <w:jc w:val="left"/>
              <w:rPr>
                <w:rFonts w:ascii="TimesNewRoman" w:hAnsi="TimesNewRoman" w:cs="TimesNewRoman"/>
                <w:kern w:val="0"/>
                <w:sz w:val="20"/>
              </w:rPr>
            </w:pPr>
          </w:p>
        </w:tc>
        <w:tc>
          <w:tcPr>
            <w:tcW w:w="2275" w:type="dxa"/>
            <w:tcBorders>
              <w:top w:val="nil"/>
              <w:left w:val="nil"/>
              <w:bottom w:val="nil"/>
              <w:right w:val="nil"/>
            </w:tcBorders>
            <w:vAlign w:val="center"/>
          </w:tcPr>
          <w:p>
            <w:pPr>
              <w:widowControl/>
              <w:spacing w:line="560" w:lineRule="exact"/>
              <w:ind w:right="100"/>
              <w:jc w:val="right"/>
              <w:rPr>
                <w:rFonts w:ascii="TimesNewRoman" w:hAnsi="TimesNewRoman" w:cs="TimesNewRoman"/>
                <w:kern w:val="0"/>
                <w:sz w:val="20"/>
              </w:rPr>
            </w:pPr>
            <w:r>
              <w:rPr>
                <w:rFonts w:ascii="TimesNewRoman" w:hAnsi="TimesNewRoman" w:cs="TimesNewRoman"/>
                <w:kern w:val="0"/>
                <w:sz w:val="20"/>
              </w:rPr>
              <w:t>单位：万元</w:t>
            </w:r>
          </w:p>
        </w:tc>
      </w:tr>
      <w:tr>
        <w:tblPrEx>
          <w:tblLayout w:type="fixed"/>
          <w:tblCellMar>
            <w:top w:w="0" w:type="dxa"/>
            <w:left w:w="108" w:type="dxa"/>
            <w:bottom w:w="0" w:type="dxa"/>
            <w:right w:w="108" w:type="dxa"/>
          </w:tblCellMar>
        </w:tblPrEx>
        <w:trPr>
          <w:trHeight w:val="323" w:hRule="atLeast"/>
        </w:trPr>
        <w:tc>
          <w:tcPr>
            <w:tcW w:w="3956"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NewRoman" w:hAnsi="TimesNewRoman" w:cs="TimesNewRoman"/>
                <w:b/>
                <w:kern w:val="0"/>
                <w:sz w:val="18"/>
                <w:szCs w:val="18"/>
              </w:rPr>
            </w:pPr>
            <w:r>
              <w:rPr>
                <w:rFonts w:ascii="TimesNewRoman" w:hAnsi="TimesNewRoman" w:cs="TimesNewRoman"/>
                <w:b/>
                <w:kern w:val="0"/>
                <w:sz w:val="18"/>
                <w:szCs w:val="18"/>
              </w:rPr>
              <w:t>功能分类科目</w:t>
            </w:r>
          </w:p>
        </w:tc>
        <w:tc>
          <w:tcPr>
            <w:tcW w:w="4889"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b/>
                <w:bCs/>
                <w:kern w:val="0"/>
                <w:sz w:val="18"/>
                <w:szCs w:val="18"/>
              </w:rPr>
              <w:t>国有资本经营预算拨款支出</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科目编码</w:t>
            </w:r>
          </w:p>
        </w:tc>
        <w:tc>
          <w:tcPr>
            <w:tcW w:w="1978"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科目名称</w:t>
            </w:r>
          </w:p>
        </w:tc>
        <w:tc>
          <w:tcPr>
            <w:tcW w:w="102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合计</w:t>
            </w:r>
          </w:p>
        </w:tc>
        <w:tc>
          <w:tcPr>
            <w:tcW w:w="158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基本支出</w:t>
            </w:r>
          </w:p>
        </w:tc>
        <w:tc>
          <w:tcPr>
            <w:tcW w:w="2275" w:type="dxa"/>
            <w:tcBorders>
              <w:top w:val="nil"/>
              <w:left w:val="nil"/>
              <w:bottom w:val="single" w:color="auto" w:sz="4" w:space="0"/>
              <w:right w:val="single" w:color="auto" w:sz="4" w:space="0"/>
            </w:tcBorders>
            <w:vAlign w:val="center"/>
          </w:tcPr>
          <w:p>
            <w:pPr>
              <w:widowControl/>
              <w:spacing w:line="280" w:lineRule="exact"/>
              <w:jc w:val="center"/>
              <w:rPr>
                <w:rFonts w:ascii="TimesNewRoman" w:hAnsi="TimesNewRoman" w:cs="TimesNewRoman"/>
                <w:b/>
                <w:bCs/>
                <w:kern w:val="0"/>
                <w:sz w:val="18"/>
                <w:szCs w:val="18"/>
              </w:rPr>
            </w:pPr>
            <w:r>
              <w:rPr>
                <w:rFonts w:ascii="TimesNewRoman" w:hAnsi="TimesNewRoman" w:cs="TimesNewRoman"/>
                <w:b/>
                <w:bCs/>
                <w:kern w:val="0"/>
                <w:sz w:val="18"/>
                <w:szCs w:val="18"/>
              </w:rPr>
              <w:t>项目支出</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NewRoman" w:hAnsi="TimesNewRoman" w:cs="TimesNewRoman"/>
                <w:bCs/>
                <w:kern w:val="0"/>
                <w:sz w:val="18"/>
                <w:szCs w:val="18"/>
              </w:rPr>
            </w:pPr>
          </w:p>
        </w:tc>
        <w:tc>
          <w:tcPr>
            <w:tcW w:w="1978" w:type="dxa"/>
            <w:tcBorders>
              <w:top w:val="single" w:color="auto" w:sz="4" w:space="0"/>
              <w:left w:val="nil"/>
              <w:bottom w:val="single" w:color="auto" w:sz="4" w:space="0"/>
              <w:right w:val="single" w:color="auto" w:sz="4" w:space="0"/>
            </w:tcBorders>
            <w:vAlign w:val="center"/>
          </w:tcPr>
          <w:p>
            <w:pPr>
              <w:widowControl/>
              <w:spacing w:line="280" w:lineRule="exact"/>
              <w:jc w:val="left"/>
              <w:rPr>
                <w:rFonts w:ascii="TimesNewRoman" w:hAnsi="TimesNewRoman" w:cs="TimesNewRoman"/>
                <w:bCs/>
                <w:kern w:val="0"/>
                <w:sz w:val="18"/>
                <w:szCs w:val="18"/>
              </w:rPr>
            </w:pPr>
          </w:p>
        </w:tc>
        <w:tc>
          <w:tcPr>
            <w:tcW w:w="1025"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1978" w:type="dxa"/>
            <w:tcBorders>
              <w:top w:val="single" w:color="auto" w:sz="4" w:space="0"/>
              <w:left w:val="nil"/>
              <w:bottom w:val="single" w:color="auto" w:sz="4" w:space="0"/>
              <w:right w:val="single" w:color="auto" w:sz="4" w:space="0"/>
            </w:tcBorders>
            <w:vAlign w:val="center"/>
          </w:tcPr>
          <w:p>
            <w:pPr>
              <w:widowControl/>
              <w:spacing w:line="280" w:lineRule="exact"/>
              <w:ind w:firstLine="360" w:firstLineChars="200"/>
              <w:jc w:val="left"/>
              <w:rPr>
                <w:rFonts w:ascii="TimesNewRoman" w:hAnsi="TimesNewRoman" w:cs="TimesNewRoman"/>
                <w:kern w:val="0"/>
                <w:sz w:val="18"/>
                <w:szCs w:val="18"/>
              </w:rPr>
            </w:pP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1978" w:type="dxa"/>
            <w:tcBorders>
              <w:top w:val="single" w:color="auto" w:sz="4" w:space="0"/>
              <w:left w:val="nil"/>
              <w:bottom w:val="single" w:color="auto" w:sz="4" w:space="0"/>
              <w:right w:val="single" w:color="auto" w:sz="4" w:space="0"/>
            </w:tcBorders>
            <w:vAlign w:val="center"/>
          </w:tcPr>
          <w:p>
            <w:pPr>
              <w:widowControl/>
              <w:spacing w:line="280" w:lineRule="exact"/>
              <w:ind w:firstLine="720" w:firstLineChars="400"/>
              <w:jc w:val="left"/>
              <w:rPr>
                <w:rFonts w:ascii="TimesNewRoman" w:hAnsi="TimesNewRoman" w:cs="TimesNewRoman"/>
                <w:kern w:val="0"/>
                <w:sz w:val="18"/>
                <w:szCs w:val="18"/>
              </w:rPr>
            </w:pP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TimesNewRoman" w:hAnsi="TimesNewRoman" w:cs="TimesNewRoman"/>
                <w:kern w:val="0"/>
                <w:sz w:val="18"/>
                <w:szCs w:val="18"/>
              </w:rPr>
            </w:pPr>
          </w:p>
        </w:tc>
        <w:tc>
          <w:tcPr>
            <w:tcW w:w="1978" w:type="dxa"/>
            <w:tcBorders>
              <w:top w:val="single" w:color="auto" w:sz="4" w:space="0"/>
              <w:left w:val="nil"/>
              <w:bottom w:val="single" w:color="auto" w:sz="4" w:space="0"/>
              <w:right w:val="single" w:color="auto" w:sz="4" w:space="0"/>
            </w:tcBorders>
            <w:vAlign w:val="center"/>
          </w:tcPr>
          <w:p>
            <w:pPr>
              <w:widowControl/>
              <w:spacing w:line="280" w:lineRule="exact"/>
              <w:rPr>
                <w:rFonts w:ascii="TimesNewRoman" w:hAnsi="TimesNewRoman" w:cs="TimesNewRoman"/>
                <w:kern w:val="0"/>
                <w:sz w:val="18"/>
                <w:szCs w:val="18"/>
              </w:rPr>
            </w:pP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000000" w:sz="4" w:space="0"/>
            </w:tcBorders>
            <w:vAlign w:val="bottom"/>
          </w:tcPr>
          <w:p>
            <w:pPr>
              <w:widowControl/>
              <w:spacing w:line="280" w:lineRule="exact"/>
              <w:jc w:val="center"/>
              <w:rPr>
                <w:rFonts w:ascii="TimesNewRoman" w:hAnsi="TimesNewRoman" w:cs="TimesNewRoman"/>
                <w:kern w:val="0"/>
                <w:sz w:val="18"/>
                <w:szCs w:val="18"/>
              </w:rPr>
            </w:pPr>
          </w:p>
        </w:tc>
        <w:tc>
          <w:tcPr>
            <w:tcW w:w="1978" w:type="dxa"/>
            <w:tcBorders>
              <w:top w:val="nil"/>
              <w:left w:val="nil"/>
              <w:bottom w:val="single" w:color="auto" w:sz="4" w:space="0"/>
              <w:right w:val="single" w:color="auto" w:sz="4" w:space="0"/>
            </w:tcBorders>
            <w:vAlign w:val="bottom"/>
          </w:tcPr>
          <w:p>
            <w:pPr>
              <w:widowControl/>
              <w:spacing w:line="280" w:lineRule="exact"/>
              <w:jc w:val="center"/>
              <w:rPr>
                <w:rFonts w:ascii="TimesNewRoman" w:hAnsi="TimesNewRoman" w:cs="TimesNewRoman"/>
                <w:kern w:val="0"/>
                <w:sz w:val="18"/>
                <w:szCs w:val="18"/>
              </w:rPr>
            </w:pP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000000" w:sz="4" w:space="0"/>
            </w:tcBorders>
            <w:vAlign w:val="center"/>
          </w:tcPr>
          <w:p>
            <w:pPr>
              <w:widowControl/>
              <w:spacing w:line="280" w:lineRule="exact"/>
              <w:jc w:val="center"/>
              <w:rPr>
                <w:rFonts w:ascii="TimesNewRoman" w:hAnsi="TimesNewRoman" w:cs="TimesNewRoman"/>
                <w:kern w:val="0"/>
                <w:sz w:val="18"/>
                <w:szCs w:val="18"/>
              </w:rPr>
            </w:pPr>
            <w:r>
              <w:rPr>
                <w:rFonts w:ascii="TimesNewRoman" w:hAnsi="TimesNewRoman" w:cs="TimesNewRoman"/>
                <w:kern w:val="0"/>
                <w:sz w:val="18"/>
                <w:szCs w:val="18"/>
              </w:rPr>
              <w:t>　</w:t>
            </w: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TimesNewRoman" w:hAnsi="TimesNewRoman" w:cs="TimesNewRoman"/>
                <w:kern w:val="0"/>
                <w:sz w:val="18"/>
                <w:szCs w:val="18"/>
              </w:rPr>
            </w:pPr>
            <w:r>
              <w:rPr>
                <w:rFonts w:ascii="TimesNewRoman" w:hAnsi="TimesNewRoman" w:cs="TimesNewRoman"/>
                <w:kern w:val="0"/>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trHeight w:val="323" w:hRule="atLeast"/>
        </w:trPr>
        <w:tc>
          <w:tcPr>
            <w:tcW w:w="1978"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978"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025"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left"/>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trHeight w:val="323" w:hRule="atLeast"/>
        </w:trPr>
        <w:tc>
          <w:tcPr>
            <w:tcW w:w="3956" w:type="dxa"/>
            <w:gridSpan w:val="2"/>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hint="eastAsia" w:ascii="汉仪中秀体简" w:hAnsi="汉仪中秀体简" w:eastAsia="汉仪中秀体简" w:cs="汉仪中秀体简"/>
                <w:sz w:val="18"/>
                <w:szCs w:val="18"/>
              </w:rPr>
              <w:t>总</w:t>
            </w:r>
            <w:r>
              <w:rPr>
                <w:rFonts w:ascii="汉仪中秀体简" w:hAnsi="汉仪中秀体简" w:eastAsia="汉仪中秀体简" w:cs="汉仪中秀体简"/>
                <w:sz w:val="18"/>
                <w:szCs w:val="18"/>
              </w:rPr>
              <w:t xml:space="preserve"> 计</w:t>
            </w:r>
          </w:p>
        </w:tc>
        <w:tc>
          <w:tcPr>
            <w:tcW w:w="1025" w:type="dxa"/>
            <w:tcBorders>
              <w:top w:val="nil"/>
              <w:left w:val="nil"/>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1589" w:type="dxa"/>
            <w:tcBorders>
              <w:top w:val="nil"/>
              <w:left w:val="nil"/>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c>
          <w:tcPr>
            <w:tcW w:w="2275" w:type="dxa"/>
            <w:tcBorders>
              <w:top w:val="nil"/>
              <w:left w:val="nil"/>
              <w:bottom w:val="single" w:color="auto" w:sz="4" w:space="0"/>
              <w:right w:val="single" w:color="auto" w:sz="4" w:space="0"/>
            </w:tcBorders>
            <w:vAlign w:val="center"/>
          </w:tcPr>
          <w:p>
            <w:pPr>
              <w:widowControl/>
              <w:spacing w:line="280" w:lineRule="exact"/>
              <w:jc w:val="center"/>
              <w:rPr>
                <w:rFonts w:ascii="汉仪中秀体简" w:hAnsi="汉仪中秀体简" w:eastAsia="汉仪中秀体简" w:cs="汉仪中秀体简"/>
                <w:sz w:val="18"/>
                <w:szCs w:val="18"/>
              </w:rPr>
            </w:pPr>
            <w:r>
              <w:rPr>
                <w:rFonts w:ascii="汉仪中秀体简" w:hAnsi="汉仪中秀体简" w:eastAsia="汉仪中秀体简" w:cs="汉仪中秀体简"/>
                <w:sz w:val="18"/>
                <w:szCs w:val="18"/>
              </w:rPr>
              <w:t>　</w:t>
            </w:r>
          </w:p>
        </w:tc>
      </w:tr>
      <w:tr>
        <w:tblPrEx>
          <w:tblLayout w:type="fixed"/>
          <w:tblCellMar>
            <w:top w:w="0" w:type="dxa"/>
            <w:left w:w="108" w:type="dxa"/>
            <w:bottom w:w="0" w:type="dxa"/>
            <w:right w:w="108" w:type="dxa"/>
          </w:tblCellMar>
        </w:tblPrEx>
        <w:trPr>
          <w:trHeight w:val="633" w:hRule="atLeast"/>
        </w:trPr>
        <w:tc>
          <w:tcPr>
            <w:tcW w:w="8845" w:type="dxa"/>
            <w:gridSpan w:val="5"/>
            <w:tcBorders>
              <w:top w:val="single" w:color="auto" w:sz="4" w:space="0"/>
              <w:left w:val="nil"/>
              <w:bottom w:val="nil"/>
              <w:right w:val="nil"/>
            </w:tcBorders>
            <w:vAlign w:val="center"/>
          </w:tcPr>
          <w:p>
            <w:pPr>
              <w:widowControl/>
              <w:spacing w:line="560" w:lineRule="exact"/>
              <w:jc w:val="left"/>
              <w:rPr>
                <w:rFonts w:ascii="TimesNewRoman" w:hAnsi="TimesNewRoman" w:cs="TimesNewRoman"/>
                <w:kern w:val="0"/>
                <w:sz w:val="24"/>
              </w:rPr>
            </w:pPr>
            <w:r>
              <w:rPr>
                <w:rFonts w:hint="eastAsia" w:ascii="TimesNewRoman" w:hAnsi="TimesNewRoman" w:cs="TimesNewRoman"/>
                <w:kern w:val="0"/>
                <w:sz w:val="24"/>
              </w:rPr>
              <w:t>寿县人大常委会办公室</w:t>
            </w:r>
            <w:r>
              <w:rPr>
                <w:rFonts w:ascii="TimesNewRoman" w:hAnsi="TimesNewRoman" w:cs="TimesNewRoman"/>
                <w:kern w:val="0"/>
                <w:sz w:val="24"/>
              </w:rPr>
              <w:t>没有国有资本经营预算拨款收入，也没有国有资本经营预算拨款安排的支出，故本表无数据。</w:t>
            </w:r>
          </w:p>
        </w:tc>
      </w:tr>
    </w:tbl>
    <w:p>
      <w:pPr>
        <w:spacing w:line="560" w:lineRule="exact"/>
        <w:jc w:val="center"/>
        <w:rPr>
          <w:rFonts w:ascii="TimesNewRoman" w:hAnsi="TimesNewRoman" w:cs="TimesNewRoman"/>
          <w:kern w:val="0"/>
          <w:sz w:val="20"/>
        </w:rPr>
      </w:pPr>
    </w:p>
    <w:p>
      <w:pPr>
        <w:spacing w:line="560" w:lineRule="exact"/>
        <w:jc w:val="right"/>
        <w:rPr>
          <w:rFonts w:ascii="TimesNewRoman" w:hAnsi="TimesNewRoman" w:cs="TimesNewRoman"/>
          <w:kern w:val="0"/>
          <w:sz w:val="20"/>
        </w:rPr>
      </w:pPr>
      <w:r>
        <w:rPr>
          <w:rFonts w:hint="eastAsia" w:ascii="TimesNewRoman" w:hAnsi="TimesNewRoman" w:cs="TimesNewRoman"/>
          <w:kern w:val="0"/>
          <w:sz w:val="20"/>
        </w:rPr>
        <w:t xml:space="preserve">                                                                                                          </w:t>
      </w:r>
      <w:r>
        <w:rPr>
          <w:rFonts w:ascii="TimesNewRoman" w:hAnsi="TimesNewRoman" w:cs="TimesNewRoman"/>
          <w:kern w:val="0"/>
          <w:sz w:val="20"/>
        </w:rPr>
        <w:t>部门公开表9</w:t>
      </w:r>
    </w:p>
    <w:tbl>
      <w:tblPr>
        <w:tblStyle w:val="5"/>
        <w:tblW w:w="8845" w:type="dxa"/>
        <w:tblInd w:w="0" w:type="dxa"/>
        <w:tblLayout w:type="fixed"/>
        <w:tblCellMar>
          <w:top w:w="0" w:type="dxa"/>
          <w:left w:w="108" w:type="dxa"/>
          <w:bottom w:w="0" w:type="dxa"/>
          <w:right w:w="108" w:type="dxa"/>
        </w:tblCellMar>
      </w:tblPr>
      <w:tblGrid>
        <w:gridCol w:w="1202"/>
        <w:gridCol w:w="2758"/>
        <w:gridCol w:w="392"/>
        <w:gridCol w:w="696"/>
        <w:gridCol w:w="696"/>
        <w:gridCol w:w="392"/>
        <w:gridCol w:w="392"/>
        <w:gridCol w:w="392"/>
        <w:gridCol w:w="392"/>
        <w:gridCol w:w="392"/>
        <w:gridCol w:w="519"/>
        <w:gridCol w:w="622"/>
      </w:tblGrid>
      <w:tr>
        <w:tblPrEx>
          <w:tblLayout w:type="fixed"/>
          <w:tblCellMar>
            <w:top w:w="0" w:type="dxa"/>
            <w:left w:w="108" w:type="dxa"/>
            <w:bottom w:w="0" w:type="dxa"/>
            <w:right w:w="108" w:type="dxa"/>
          </w:tblCellMar>
        </w:tblPrEx>
        <w:trPr>
          <w:trHeight w:val="525" w:hRule="atLeast"/>
        </w:trPr>
        <w:tc>
          <w:tcPr>
            <w:tcW w:w="8845" w:type="dxa"/>
            <w:gridSpan w:val="12"/>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6"/>
                <w:szCs w:val="36"/>
              </w:rPr>
            </w:pPr>
            <w:r>
              <w:rPr>
                <w:rFonts w:hint="eastAsia" w:ascii="黑体" w:hAnsi="黑体" w:eastAsia="黑体" w:cs="Arial"/>
                <w:color w:val="000000"/>
                <w:kern w:val="0"/>
                <w:sz w:val="36"/>
                <w:szCs w:val="36"/>
              </w:rPr>
              <w:t>2024年部门项目支出表</w:t>
            </w:r>
          </w:p>
        </w:tc>
      </w:tr>
      <w:tr>
        <w:tblPrEx>
          <w:tblLayout w:type="fixed"/>
          <w:tblCellMar>
            <w:top w:w="0" w:type="dxa"/>
            <w:left w:w="108" w:type="dxa"/>
            <w:bottom w:w="0" w:type="dxa"/>
            <w:right w:w="108" w:type="dxa"/>
          </w:tblCellMar>
        </w:tblPrEx>
        <w:trPr>
          <w:trHeight w:val="360" w:hRule="atLeast"/>
        </w:trPr>
        <w:tc>
          <w:tcPr>
            <w:tcW w:w="3960"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部门名称：寿县人民代表大会常务委员会办公室</w:t>
            </w:r>
          </w:p>
        </w:tc>
        <w:tc>
          <w:tcPr>
            <w:tcW w:w="392"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696"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696"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2"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2"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2"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2"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392" w:type="dxa"/>
            <w:tcBorders>
              <w:top w:val="nil"/>
              <w:left w:val="nil"/>
              <w:bottom w:val="single" w:color="000000" w:sz="4" w:space="0"/>
              <w:right w:val="nil"/>
            </w:tcBorders>
            <w:shd w:val="clear" w:color="auto" w:fill="auto"/>
            <w:noWrap/>
            <w:vAlign w:val="center"/>
          </w:tcPr>
          <w:p>
            <w:pPr>
              <w:widowControl/>
              <w:jc w:val="left"/>
              <w:rPr>
                <w:rFonts w:ascii="宋体" w:hAnsi="宋体" w:cs="Arial"/>
                <w:color w:val="000000"/>
                <w:kern w:val="0"/>
                <w:sz w:val="22"/>
                <w:szCs w:val="22"/>
              </w:rPr>
            </w:pPr>
            <w:r>
              <w:rPr>
                <w:rFonts w:hint="eastAsia" w:ascii="宋体" w:hAnsi="宋体" w:cs="Arial"/>
                <w:color w:val="000000"/>
                <w:kern w:val="0"/>
                <w:sz w:val="22"/>
                <w:szCs w:val="22"/>
              </w:rPr>
              <w:t>　</w:t>
            </w:r>
          </w:p>
        </w:tc>
        <w:tc>
          <w:tcPr>
            <w:tcW w:w="1141" w:type="dxa"/>
            <w:gridSpan w:val="2"/>
            <w:tcBorders>
              <w:top w:val="nil"/>
              <w:left w:val="nil"/>
              <w:bottom w:val="single" w:color="000000" w:sz="4" w:space="0"/>
              <w:right w:val="nil"/>
            </w:tcBorders>
            <w:shd w:val="clear" w:color="auto" w:fill="auto"/>
            <w:noWrap/>
            <w:vAlign w:val="center"/>
          </w:tcPr>
          <w:p>
            <w:pPr>
              <w:widowControl/>
              <w:jc w:val="right"/>
              <w:rPr>
                <w:rFonts w:ascii="宋体" w:hAnsi="宋体" w:cs="Arial"/>
                <w:color w:val="000000"/>
                <w:kern w:val="0"/>
                <w:sz w:val="22"/>
                <w:szCs w:val="22"/>
              </w:rPr>
            </w:pPr>
            <w:r>
              <w:rPr>
                <w:rFonts w:hint="eastAsia" w:ascii="宋体" w:hAnsi="宋体" w:cs="Arial"/>
                <w:color w:val="000000"/>
                <w:kern w:val="0"/>
                <w:sz w:val="22"/>
                <w:szCs w:val="22"/>
              </w:rPr>
              <w:t>单位：万元</w:t>
            </w:r>
          </w:p>
        </w:tc>
      </w:tr>
      <w:tr>
        <w:tblPrEx>
          <w:tblLayout w:type="fixed"/>
          <w:tblCellMar>
            <w:top w:w="0" w:type="dxa"/>
            <w:left w:w="108" w:type="dxa"/>
            <w:bottom w:w="0" w:type="dxa"/>
            <w:right w:w="108" w:type="dxa"/>
          </w:tblCellMar>
        </w:tblPrEx>
        <w:trPr>
          <w:trHeight w:val="375" w:hRule="atLeast"/>
        </w:trPr>
        <w:tc>
          <w:tcPr>
            <w:tcW w:w="12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类型</w:t>
            </w:r>
          </w:p>
        </w:tc>
        <w:tc>
          <w:tcPr>
            <w:tcW w:w="2758"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项目名称</w:t>
            </w:r>
          </w:p>
        </w:tc>
        <w:tc>
          <w:tcPr>
            <w:tcW w:w="39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项目单位</w:t>
            </w:r>
          </w:p>
        </w:tc>
        <w:tc>
          <w:tcPr>
            <w:tcW w:w="69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合计</w:t>
            </w:r>
          </w:p>
        </w:tc>
        <w:tc>
          <w:tcPr>
            <w:tcW w:w="1480"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本年财政拨款</w:t>
            </w:r>
          </w:p>
        </w:tc>
        <w:tc>
          <w:tcPr>
            <w:tcW w:w="1176" w:type="dxa"/>
            <w:gridSpan w:val="3"/>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财政拨款结转结余</w:t>
            </w:r>
          </w:p>
        </w:tc>
        <w:tc>
          <w:tcPr>
            <w:tcW w:w="519"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财政专户管理资金</w:t>
            </w:r>
          </w:p>
        </w:tc>
        <w:tc>
          <w:tcPr>
            <w:tcW w:w="622"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单位资金</w:t>
            </w:r>
          </w:p>
        </w:tc>
      </w:tr>
      <w:tr>
        <w:tblPrEx>
          <w:tblLayout w:type="fixed"/>
          <w:tblCellMar>
            <w:top w:w="0" w:type="dxa"/>
            <w:left w:w="108" w:type="dxa"/>
            <w:bottom w:w="0" w:type="dxa"/>
            <w:right w:w="108" w:type="dxa"/>
          </w:tblCellMar>
        </w:tblPrEx>
        <w:trPr>
          <w:trHeight w:val="750" w:hRule="atLeast"/>
        </w:trPr>
        <w:tc>
          <w:tcPr>
            <w:tcW w:w="1202"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2758" w:type="dxa"/>
            <w:vMerge w:val="continue"/>
            <w:tcBorders>
              <w:top w:val="single" w:color="000000" w:sz="4" w:space="0"/>
              <w:left w:val="single" w:color="000000" w:sz="4" w:space="0"/>
              <w:bottom w:val="nil"/>
              <w:right w:val="single" w:color="000000" w:sz="4" w:space="0"/>
            </w:tcBorders>
            <w:vAlign w:val="center"/>
          </w:tcPr>
          <w:p>
            <w:pPr>
              <w:widowControl/>
              <w:jc w:val="left"/>
              <w:rPr>
                <w:rFonts w:ascii="宋体" w:hAnsi="宋体" w:cs="Arial"/>
                <w:color w:val="000000"/>
                <w:kern w:val="0"/>
                <w:sz w:val="22"/>
                <w:szCs w:val="22"/>
              </w:rPr>
            </w:pPr>
          </w:p>
        </w:tc>
        <w:tc>
          <w:tcPr>
            <w:tcW w:w="39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69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696" w:type="dxa"/>
            <w:tcBorders>
              <w:top w:val="nil"/>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w:t>
            </w:r>
          </w:p>
        </w:tc>
        <w:tc>
          <w:tcPr>
            <w:tcW w:w="392" w:type="dxa"/>
            <w:tcBorders>
              <w:top w:val="nil"/>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w:t>
            </w:r>
          </w:p>
        </w:tc>
        <w:tc>
          <w:tcPr>
            <w:tcW w:w="392" w:type="dxa"/>
            <w:tcBorders>
              <w:top w:val="nil"/>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w:t>
            </w:r>
          </w:p>
        </w:tc>
        <w:tc>
          <w:tcPr>
            <w:tcW w:w="392" w:type="dxa"/>
            <w:tcBorders>
              <w:top w:val="nil"/>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一般公共预算</w:t>
            </w:r>
          </w:p>
        </w:tc>
        <w:tc>
          <w:tcPr>
            <w:tcW w:w="392" w:type="dxa"/>
            <w:tcBorders>
              <w:top w:val="nil"/>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政府性基金预算</w:t>
            </w:r>
          </w:p>
        </w:tc>
        <w:tc>
          <w:tcPr>
            <w:tcW w:w="392" w:type="dxa"/>
            <w:tcBorders>
              <w:top w:val="nil"/>
              <w:left w:val="nil"/>
              <w:bottom w:val="nil"/>
              <w:right w:val="single" w:color="000000" w:sz="4" w:space="0"/>
            </w:tcBorders>
            <w:shd w:val="clear" w:color="auto" w:fill="auto"/>
            <w:vAlign w:val="center"/>
          </w:tcPr>
          <w:p>
            <w:pPr>
              <w:widowControl/>
              <w:jc w:val="center"/>
              <w:rPr>
                <w:rFonts w:ascii="宋体" w:hAnsi="宋体" w:cs="Arial"/>
                <w:color w:val="000000"/>
                <w:kern w:val="0"/>
                <w:sz w:val="22"/>
                <w:szCs w:val="22"/>
              </w:rPr>
            </w:pPr>
            <w:r>
              <w:rPr>
                <w:rFonts w:hint="eastAsia" w:ascii="宋体" w:hAnsi="宋体" w:cs="Arial"/>
                <w:color w:val="000000"/>
                <w:kern w:val="0"/>
                <w:sz w:val="22"/>
                <w:szCs w:val="22"/>
              </w:rPr>
              <w:t>国有资本经营预算</w:t>
            </w:r>
          </w:p>
        </w:tc>
        <w:tc>
          <w:tcPr>
            <w:tcW w:w="519"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c>
          <w:tcPr>
            <w:tcW w:w="622"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Arial"/>
                <w:color w:val="000000"/>
                <w:kern w:val="0"/>
                <w:sz w:val="22"/>
                <w:szCs w:val="22"/>
              </w:rPr>
            </w:pPr>
          </w:p>
        </w:tc>
      </w:tr>
      <w:tr>
        <w:tblPrEx>
          <w:tblLayout w:type="fixed"/>
          <w:tblCellMar>
            <w:top w:w="0" w:type="dxa"/>
            <w:left w:w="108" w:type="dxa"/>
            <w:bottom w:w="0" w:type="dxa"/>
            <w:right w:w="108" w:type="dxa"/>
          </w:tblCellMar>
        </w:tblPrEx>
        <w:trPr>
          <w:trHeight w:val="375" w:hRule="atLeast"/>
        </w:trPr>
        <w:tc>
          <w:tcPr>
            <w:tcW w:w="120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2758"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合计</w:t>
            </w:r>
          </w:p>
        </w:tc>
        <w:tc>
          <w:tcPr>
            <w:tcW w:w="6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c>
          <w:tcPr>
            <w:tcW w:w="696"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230.41</w:t>
            </w:r>
          </w:p>
        </w:tc>
        <w:tc>
          <w:tcPr>
            <w:tcW w:w="392"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1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2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0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特定目标类</w:t>
            </w:r>
          </w:p>
        </w:tc>
        <w:tc>
          <w:tcPr>
            <w:tcW w:w="2758"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人大代表履职补贴项目</w:t>
            </w:r>
          </w:p>
        </w:tc>
        <w:tc>
          <w:tcPr>
            <w:tcW w:w="39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寿县人民代表大会常务委员会办公室</w:t>
            </w:r>
          </w:p>
        </w:tc>
        <w:tc>
          <w:tcPr>
            <w:tcW w:w="6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88.56</w:t>
            </w:r>
          </w:p>
        </w:tc>
        <w:tc>
          <w:tcPr>
            <w:tcW w:w="6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88.56</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1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2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375" w:hRule="atLeast"/>
        </w:trPr>
        <w:tc>
          <w:tcPr>
            <w:tcW w:w="1202" w:type="dxa"/>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特定目标类</w:t>
            </w:r>
          </w:p>
        </w:tc>
        <w:tc>
          <w:tcPr>
            <w:tcW w:w="2758"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人大事务运转项目</w:t>
            </w:r>
          </w:p>
        </w:tc>
        <w:tc>
          <w:tcPr>
            <w:tcW w:w="392" w:type="dxa"/>
            <w:tcBorders>
              <w:top w:val="nil"/>
              <w:left w:val="nil"/>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寿县人民代表大会常务委员会办公室</w:t>
            </w:r>
          </w:p>
        </w:tc>
        <w:tc>
          <w:tcPr>
            <w:tcW w:w="6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141.85</w:t>
            </w:r>
          </w:p>
        </w:tc>
        <w:tc>
          <w:tcPr>
            <w:tcW w:w="69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141.85</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39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519"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22"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bl>
    <w:p>
      <w:pPr>
        <w:spacing w:line="560" w:lineRule="exact"/>
        <w:jc w:val="center"/>
        <w:rPr>
          <w:rFonts w:ascii="TimesNewRoman" w:hAnsi="TimesNewRoman" w:cs="TimesNewRoman"/>
          <w:kern w:val="0"/>
          <w:sz w:val="20"/>
        </w:rPr>
      </w:pPr>
    </w:p>
    <w:p>
      <w:pPr>
        <w:spacing w:line="560" w:lineRule="exact"/>
        <w:ind w:left="7400" w:hanging="7400" w:hangingChars="3700"/>
        <w:rPr>
          <w:rFonts w:ascii="TimesNewRoman" w:hAnsi="TimesNewRoman" w:cs="TimesNewRoman"/>
          <w:kern w:val="0"/>
          <w:sz w:val="20"/>
        </w:rPr>
      </w:pPr>
    </w:p>
    <w:p>
      <w:pPr>
        <w:pStyle w:val="4"/>
        <w:adjustRightInd w:val="0"/>
        <w:snapToGrid w:val="0"/>
        <w:spacing w:after="156" w:afterLines="50" w:line="560" w:lineRule="exact"/>
        <w:jc w:val="right"/>
        <w:rPr>
          <w:rFonts w:ascii="TimesNewRoman" w:hAnsi="TimesNewRoman" w:cs="TimesNewRoman"/>
          <w:sz w:val="20"/>
          <w:szCs w:val="20"/>
        </w:rPr>
      </w:pPr>
      <w:r>
        <w:rPr>
          <w:rFonts w:hint="eastAsia" w:ascii="TimesNewRoman" w:hAnsi="TimesNewRoman" w:cs="TimesNewRoman"/>
          <w:sz w:val="20"/>
          <w:szCs w:val="20"/>
        </w:rPr>
        <w:t xml:space="preserve">                                                 </w:t>
      </w:r>
      <w:r>
        <w:rPr>
          <w:rFonts w:ascii="TimesNewRoman" w:hAnsi="TimesNewRoman" w:cs="TimesNewRoman"/>
          <w:sz w:val="20"/>
          <w:szCs w:val="20"/>
        </w:rPr>
        <w:t xml:space="preserve">    </w:t>
      </w:r>
      <w:r>
        <w:rPr>
          <w:rFonts w:hint="eastAsia" w:ascii="TimesNewRoman" w:hAnsi="TimesNewRoman" w:cs="TimesNewRoman"/>
          <w:sz w:val="20"/>
          <w:szCs w:val="20"/>
        </w:rPr>
        <w:t xml:space="preserve">                                                      </w:t>
      </w:r>
      <w:r>
        <w:rPr>
          <w:rFonts w:ascii="TimesNewRoman" w:hAnsi="TimesNewRoman" w:cs="TimesNewRoman"/>
          <w:sz w:val="20"/>
          <w:szCs w:val="20"/>
        </w:rPr>
        <w:t>部门公开表10</w:t>
      </w:r>
    </w:p>
    <w:tbl>
      <w:tblPr>
        <w:tblStyle w:val="5"/>
        <w:tblW w:w="8845" w:type="dxa"/>
        <w:tblInd w:w="0" w:type="dxa"/>
        <w:tblLayout w:type="fixed"/>
        <w:tblCellMar>
          <w:top w:w="0" w:type="dxa"/>
          <w:left w:w="108" w:type="dxa"/>
          <w:bottom w:w="0" w:type="dxa"/>
          <w:right w:w="108" w:type="dxa"/>
        </w:tblCellMar>
      </w:tblPr>
      <w:tblGrid>
        <w:gridCol w:w="4416"/>
        <w:gridCol w:w="642"/>
        <w:gridCol w:w="642"/>
        <w:gridCol w:w="643"/>
        <w:gridCol w:w="643"/>
        <w:gridCol w:w="643"/>
        <w:gridCol w:w="1216"/>
      </w:tblGrid>
      <w:tr>
        <w:tblPrEx>
          <w:tblLayout w:type="fixed"/>
          <w:tblCellMar>
            <w:top w:w="0" w:type="dxa"/>
            <w:left w:w="108" w:type="dxa"/>
            <w:bottom w:w="0" w:type="dxa"/>
            <w:right w:w="108" w:type="dxa"/>
          </w:tblCellMar>
        </w:tblPrEx>
        <w:trPr>
          <w:trHeight w:val="525" w:hRule="atLeast"/>
        </w:trPr>
        <w:tc>
          <w:tcPr>
            <w:tcW w:w="8845" w:type="dxa"/>
            <w:gridSpan w:val="7"/>
            <w:tcBorders>
              <w:top w:val="nil"/>
              <w:left w:val="nil"/>
              <w:bottom w:val="nil"/>
              <w:right w:val="nil"/>
            </w:tcBorders>
            <w:shd w:val="clear" w:color="auto" w:fill="auto"/>
            <w:noWrap/>
            <w:vAlign w:val="center"/>
          </w:tcPr>
          <w:p>
            <w:pPr>
              <w:widowControl/>
              <w:jc w:val="center"/>
              <w:rPr>
                <w:rFonts w:ascii="黑体" w:hAnsi="黑体" w:eastAsia="黑体" w:cs="Arial"/>
                <w:color w:val="000000"/>
                <w:kern w:val="0"/>
                <w:sz w:val="32"/>
                <w:szCs w:val="32"/>
              </w:rPr>
            </w:pPr>
            <w:r>
              <w:rPr>
                <w:rFonts w:hint="eastAsia" w:ascii="黑体" w:hAnsi="黑体" w:eastAsia="黑体" w:cs="Arial"/>
                <w:color w:val="000000"/>
                <w:kern w:val="0"/>
                <w:sz w:val="32"/>
                <w:szCs w:val="32"/>
              </w:rPr>
              <w:t>2024年部门政府采购支出表</w:t>
            </w:r>
          </w:p>
        </w:tc>
      </w:tr>
      <w:tr>
        <w:tblPrEx>
          <w:tblLayout w:type="fixed"/>
          <w:tblCellMar>
            <w:top w:w="0" w:type="dxa"/>
            <w:left w:w="108" w:type="dxa"/>
            <w:bottom w:w="0" w:type="dxa"/>
            <w:right w:w="108" w:type="dxa"/>
          </w:tblCellMar>
        </w:tblPrEx>
        <w:trPr>
          <w:trHeight w:val="360" w:hRule="atLeast"/>
        </w:trPr>
        <w:tc>
          <w:tcPr>
            <w:tcW w:w="4416"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642" w:type="dxa"/>
            <w:tcBorders>
              <w:top w:val="nil"/>
              <w:left w:val="nil"/>
              <w:bottom w:val="nil"/>
              <w:right w:val="nil"/>
            </w:tcBorders>
            <w:shd w:val="clear" w:color="auto" w:fill="auto"/>
            <w:noWrap/>
            <w:vAlign w:val="bottom"/>
          </w:tcPr>
          <w:p>
            <w:pPr>
              <w:widowControl/>
              <w:jc w:val="left"/>
              <w:rPr>
                <w:rFonts w:ascii="宋体" w:hAnsi="宋体" w:cs="Arial"/>
                <w:color w:val="000000"/>
                <w:kern w:val="0"/>
                <w:sz w:val="20"/>
                <w:szCs w:val="20"/>
              </w:rPr>
            </w:pPr>
          </w:p>
        </w:tc>
        <w:tc>
          <w:tcPr>
            <w:tcW w:w="642" w:type="dxa"/>
            <w:tcBorders>
              <w:top w:val="nil"/>
              <w:left w:val="nil"/>
              <w:bottom w:val="nil"/>
              <w:right w:val="nil"/>
            </w:tcBorders>
            <w:shd w:val="clear" w:color="auto" w:fill="auto"/>
            <w:noWrap/>
            <w:vAlign w:val="center"/>
          </w:tcPr>
          <w:p>
            <w:pPr>
              <w:widowControl/>
              <w:jc w:val="left"/>
              <w:rPr>
                <w:rFonts w:eastAsia="Times New Roman"/>
                <w:kern w:val="0"/>
                <w:sz w:val="20"/>
                <w:szCs w:val="20"/>
              </w:rPr>
            </w:pPr>
          </w:p>
        </w:tc>
        <w:tc>
          <w:tcPr>
            <w:tcW w:w="643"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643"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643" w:type="dxa"/>
            <w:tcBorders>
              <w:top w:val="nil"/>
              <w:left w:val="nil"/>
              <w:bottom w:val="nil"/>
              <w:right w:val="nil"/>
            </w:tcBorders>
            <w:shd w:val="clear" w:color="auto" w:fill="auto"/>
            <w:noWrap/>
            <w:vAlign w:val="center"/>
          </w:tcPr>
          <w:p>
            <w:pPr>
              <w:widowControl/>
              <w:jc w:val="center"/>
              <w:rPr>
                <w:rFonts w:eastAsia="Times New Roman"/>
                <w:kern w:val="0"/>
                <w:sz w:val="20"/>
                <w:szCs w:val="20"/>
              </w:rPr>
            </w:pPr>
          </w:p>
        </w:tc>
        <w:tc>
          <w:tcPr>
            <w:tcW w:w="1216" w:type="dxa"/>
            <w:tcBorders>
              <w:top w:val="nil"/>
              <w:left w:val="nil"/>
              <w:bottom w:val="nil"/>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810" w:hRule="atLeast"/>
        </w:trPr>
        <w:tc>
          <w:tcPr>
            <w:tcW w:w="4416" w:type="dxa"/>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单位名称/支出项目/政府采购品目</w:t>
            </w:r>
          </w:p>
        </w:tc>
        <w:tc>
          <w:tcPr>
            <w:tcW w:w="64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合计</w:t>
            </w:r>
          </w:p>
        </w:tc>
        <w:tc>
          <w:tcPr>
            <w:tcW w:w="642"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一般公共预算</w:t>
            </w:r>
          </w:p>
        </w:tc>
        <w:tc>
          <w:tcPr>
            <w:tcW w:w="64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政府性基金预算</w:t>
            </w:r>
          </w:p>
        </w:tc>
        <w:tc>
          <w:tcPr>
            <w:tcW w:w="64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国有资本经营预算</w:t>
            </w:r>
          </w:p>
        </w:tc>
        <w:tc>
          <w:tcPr>
            <w:tcW w:w="643"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财政专户管理资金</w:t>
            </w:r>
          </w:p>
        </w:tc>
        <w:tc>
          <w:tcPr>
            <w:tcW w:w="1216"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单位资金</w:t>
            </w:r>
          </w:p>
        </w:tc>
      </w:tr>
      <w:tr>
        <w:tblPrEx>
          <w:tblLayout w:type="fixed"/>
          <w:tblCellMar>
            <w:top w:w="0" w:type="dxa"/>
            <w:left w:w="108" w:type="dxa"/>
            <w:bottom w:w="0" w:type="dxa"/>
            <w:right w:w="108" w:type="dxa"/>
          </w:tblCellMar>
        </w:tblPrEx>
        <w:trPr>
          <w:trHeight w:val="465" w:hRule="atLeast"/>
        </w:trPr>
        <w:tc>
          <w:tcPr>
            <w:tcW w:w="44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合计</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2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465" w:hRule="atLeast"/>
        </w:trPr>
        <w:tc>
          <w:tcPr>
            <w:tcW w:w="4416"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寿县人民代表大会常务委员会办公室</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2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465" w:hRule="atLeast"/>
        </w:trPr>
        <w:tc>
          <w:tcPr>
            <w:tcW w:w="4416"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寿县人民代表大会常务委员会办公室_在职人员综合定额公务费（一）</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2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r>
        <w:tblPrEx>
          <w:tblLayout w:type="fixed"/>
          <w:tblCellMar>
            <w:top w:w="0" w:type="dxa"/>
            <w:left w:w="108" w:type="dxa"/>
            <w:bottom w:w="0" w:type="dxa"/>
            <w:right w:w="108" w:type="dxa"/>
          </w:tblCellMar>
        </w:tblPrEx>
        <w:trPr>
          <w:trHeight w:val="465" w:hRule="atLeast"/>
        </w:trPr>
        <w:tc>
          <w:tcPr>
            <w:tcW w:w="4416" w:type="dxa"/>
            <w:tcBorders>
              <w:top w:val="nil"/>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　　台式计算机</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2"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3.20</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643" w:type="dxa"/>
            <w:tcBorders>
              <w:top w:val="nil"/>
              <w:left w:val="nil"/>
              <w:bottom w:val="single" w:color="000000" w:sz="4" w:space="0"/>
              <w:right w:val="single" w:color="000000" w:sz="4" w:space="0"/>
            </w:tcBorders>
            <w:shd w:val="clear" w:color="auto" w:fill="auto"/>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c>
          <w:tcPr>
            <w:tcW w:w="1216" w:type="dxa"/>
            <w:tcBorders>
              <w:top w:val="nil"/>
              <w:left w:val="nil"/>
              <w:bottom w:val="single" w:color="000000" w:sz="4" w:space="0"/>
              <w:right w:val="single" w:color="000000" w:sz="4" w:space="0"/>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　</w:t>
            </w:r>
          </w:p>
        </w:tc>
      </w:tr>
    </w:tbl>
    <w:p>
      <w:pPr>
        <w:pStyle w:val="4"/>
        <w:adjustRightInd w:val="0"/>
        <w:snapToGrid w:val="0"/>
        <w:spacing w:after="156" w:afterLines="50" w:line="560" w:lineRule="exact"/>
        <w:jc w:val="right"/>
        <w:rPr>
          <w:rFonts w:ascii="TimesNewRoman" w:hAnsi="TimesNewRoman" w:cs="TimesNewRoman"/>
          <w:sz w:val="20"/>
          <w:szCs w:val="20"/>
        </w:rPr>
      </w:pPr>
    </w:p>
    <w:p>
      <w:pPr>
        <w:spacing w:line="560" w:lineRule="exact"/>
        <w:rPr>
          <w:rFonts w:ascii="TimesNewRoman" w:hAnsi="TimesNewRoman" w:cs="TimesNewRoman"/>
        </w:rPr>
      </w:pPr>
    </w:p>
    <w:p>
      <w:pPr>
        <w:spacing w:line="560" w:lineRule="exact"/>
        <w:rPr>
          <w:rFonts w:ascii="TimesNewRoman" w:hAnsi="TimesNewRoman" w:cs="TimesNewRoman"/>
        </w:rPr>
      </w:pPr>
    </w:p>
    <w:p>
      <w:pPr>
        <w:pStyle w:val="4"/>
        <w:wordWrap w:val="0"/>
        <w:adjustRightInd w:val="0"/>
        <w:snapToGrid w:val="0"/>
        <w:spacing w:line="560" w:lineRule="exact"/>
        <w:jc w:val="right"/>
        <w:rPr>
          <w:rFonts w:ascii="TimesNewRoman" w:hAnsi="TimesNewRoman" w:cs="TimesNewRoman"/>
          <w:sz w:val="20"/>
          <w:szCs w:val="20"/>
        </w:rPr>
      </w:pPr>
      <w:r>
        <w:rPr>
          <w:rFonts w:hint="eastAsia" w:ascii="TimesNewRoman" w:hAnsi="TimesNewRoman" w:cs="TimesNewRoman"/>
          <w:sz w:val="20"/>
          <w:szCs w:val="20"/>
        </w:rPr>
        <w:t xml:space="preserve">                                                                                                          </w:t>
      </w:r>
      <w:r>
        <w:rPr>
          <w:rFonts w:ascii="TimesNewRoman" w:hAnsi="TimesNewRoman" w:cs="TimesNewRoman"/>
          <w:sz w:val="20"/>
          <w:szCs w:val="20"/>
        </w:rPr>
        <w:t>部门公开表11</w:t>
      </w:r>
    </w:p>
    <w:tbl>
      <w:tblPr>
        <w:tblStyle w:val="5"/>
        <w:tblW w:w="8845" w:type="dxa"/>
        <w:tblInd w:w="0" w:type="dxa"/>
        <w:tblLayout w:type="fixed"/>
        <w:tblCellMar>
          <w:top w:w="0" w:type="dxa"/>
          <w:left w:w="108" w:type="dxa"/>
          <w:bottom w:w="0" w:type="dxa"/>
          <w:right w:w="108" w:type="dxa"/>
        </w:tblCellMar>
      </w:tblPr>
      <w:tblGrid>
        <w:gridCol w:w="2272"/>
        <w:gridCol w:w="1000"/>
        <w:gridCol w:w="358"/>
        <w:gridCol w:w="358"/>
        <w:gridCol w:w="358"/>
        <w:gridCol w:w="358"/>
        <w:gridCol w:w="1071"/>
        <w:gridCol w:w="1356"/>
        <w:gridCol w:w="786"/>
        <w:gridCol w:w="928"/>
      </w:tblGrid>
      <w:tr>
        <w:tblPrEx>
          <w:tblLayout w:type="fixed"/>
          <w:tblCellMar>
            <w:top w:w="0" w:type="dxa"/>
            <w:left w:w="108" w:type="dxa"/>
            <w:bottom w:w="0" w:type="dxa"/>
            <w:right w:w="108" w:type="dxa"/>
          </w:tblCellMar>
        </w:tblPrEx>
        <w:trPr>
          <w:trHeight w:val="600" w:hRule="atLeast"/>
        </w:trPr>
        <w:tc>
          <w:tcPr>
            <w:tcW w:w="8845" w:type="dxa"/>
            <w:gridSpan w:val="10"/>
            <w:tcBorders>
              <w:top w:val="nil"/>
              <w:left w:val="nil"/>
              <w:bottom w:val="nil"/>
              <w:right w:val="nil"/>
            </w:tcBorders>
            <w:shd w:val="clear" w:color="auto" w:fill="auto"/>
            <w:noWrap/>
            <w:vAlign w:val="center"/>
          </w:tcPr>
          <w:p>
            <w:pPr>
              <w:widowControl/>
              <w:jc w:val="center"/>
              <w:rPr>
                <w:rFonts w:ascii="宋体" w:hAnsi="宋体" w:cs="Arial"/>
                <w:b/>
                <w:bCs/>
                <w:color w:val="000000"/>
                <w:kern w:val="0"/>
                <w:sz w:val="36"/>
                <w:szCs w:val="36"/>
              </w:rPr>
            </w:pPr>
            <w:r>
              <w:rPr>
                <w:rFonts w:hint="eastAsia" w:ascii="宋体" w:hAnsi="宋体" w:cs="Arial"/>
                <w:b/>
                <w:bCs/>
                <w:color w:val="000000"/>
                <w:kern w:val="0"/>
                <w:sz w:val="36"/>
                <w:szCs w:val="36"/>
              </w:rPr>
              <w:t>2024年部门政府购买服务支出表</w:t>
            </w:r>
          </w:p>
        </w:tc>
      </w:tr>
      <w:tr>
        <w:tblPrEx>
          <w:tblLayout w:type="fixed"/>
          <w:tblCellMar>
            <w:top w:w="0" w:type="dxa"/>
            <w:left w:w="108" w:type="dxa"/>
            <w:bottom w:w="0" w:type="dxa"/>
            <w:right w:w="108" w:type="dxa"/>
          </w:tblCellMar>
        </w:tblPrEx>
        <w:trPr>
          <w:trHeight w:val="390" w:hRule="atLeast"/>
        </w:trPr>
        <w:tc>
          <w:tcPr>
            <w:tcW w:w="3272" w:type="dxa"/>
            <w:gridSpan w:val="2"/>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r>
              <w:rPr>
                <w:rFonts w:hint="eastAsia" w:ascii="宋体" w:hAnsi="宋体" w:cs="Arial"/>
                <w:color w:val="000000"/>
                <w:kern w:val="0"/>
                <w:sz w:val="20"/>
                <w:szCs w:val="20"/>
              </w:rPr>
              <w:t>部门名称：寿县人民代表大会常务委员会办公室</w:t>
            </w:r>
          </w:p>
        </w:tc>
        <w:tc>
          <w:tcPr>
            <w:tcW w:w="358" w:type="dxa"/>
            <w:tcBorders>
              <w:top w:val="nil"/>
              <w:left w:val="nil"/>
              <w:bottom w:val="nil"/>
              <w:right w:val="nil"/>
            </w:tcBorders>
            <w:shd w:val="clear" w:color="auto" w:fill="auto"/>
            <w:noWrap/>
            <w:vAlign w:val="center"/>
          </w:tcPr>
          <w:p>
            <w:pPr>
              <w:widowControl/>
              <w:jc w:val="left"/>
              <w:rPr>
                <w:rFonts w:ascii="宋体" w:hAnsi="宋体" w:cs="Arial"/>
                <w:color w:val="000000"/>
                <w:kern w:val="0"/>
                <w:sz w:val="20"/>
                <w:szCs w:val="20"/>
              </w:rPr>
            </w:pPr>
          </w:p>
        </w:tc>
        <w:tc>
          <w:tcPr>
            <w:tcW w:w="358" w:type="dxa"/>
            <w:tcBorders>
              <w:top w:val="nil"/>
              <w:left w:val="nil"/>
              <w:bottom w:val="nil"/>
              <w:right w:val="nil"/>
            </w:tcBorders>
            <w:shd w:val="clear" w:color="auto" w:fill="auto"/>
            <w:noWrap/>
            <w:vAlign w:val="bottom"/>
          </w:tcPr>
          <w:p>
            <w:pPr>
              <w:widowControl/>
              <w:jc w:val="center"/>
              <w:rPr>
                <w:rFonts w:eastAsia="Times New Roman"/>
                <w:kern w:val="0"/>
                <w:sz w:val="20"/>
                <w:szCs w:val="20"/>
              </w:rPr>
            </w:pPr>
          </w:p>
        </w:tc>
        <w:tc>
          <w:tcPr>
            <w:tcW w:w="358"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358"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071"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135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786" w:type="dxa"/>
            <w:tcBorders>
              <w:top w:val="nil"/>
              <w:left w:val="nil"/>
              <w:bottom w:val="nil"/>
              <w:right w:val="nil"/>
            </w:tcBorders>
            <w:shd w:val="clear" w:color="auto" w:fill="auto"/>
            <w:noWrap/>
            <w:vAlign w:val="bottom"/>
          </w:tcPr>
          <w:p>
            <w:pPr>
              <w:widowControl/>
              <w:jc w:val="left"/>
              <w:rPr>
                <w:rFonts w:eastAsia="Times New Roman"/>
                <w:kern w:val="0"/>
                <w:sz w:val="20"/>
                <w:szCs w:val="20"/>
              </w:rPr>
            </w:pPr>
          </w:p>
        </w:tc>
        <w:tc>
          <w:tcPr>
            <w:tcW w:w="928" w:type="dxa"/>
            <w:tcBorders>
              <w:top w:val="nil"/>
              <w:left w:val="nil"/>
              <w:bottom w:val="nil"/>
              <w:right w:val="nil"/>
            </w:tcBorders>
            <w:shd w:val="clear" w:color="auto" w:fill="auto"/>
            <w:noWrap/>
            <w:vAlign w:val="center"/>
          </w:tcPr>
          <w:p>
            <w:pPr>
              <w:widowControl/>
              <w:jc w:val="right"/>
              <w:rPr>
                <w:rFonts w:ascii="宋体" w:hAnsi="宋体" w:cs="Arial"/>
                <w:color w:val="000000"/>
                <w:kern w:val="0"/>
                <w:sz w:val="20"/>
                <w:szCs w:val="20"/>
              </w:rPr>
            </w:pPr>
            <w:r>
              <w:rPr>
                <w:rFonts w:hint="eastAsia" w:ascii="宋体" w:hAnsi="宋体" w:cs="Arial"/>
                <w:color w:val="000000"/>
                <w:kern w:val="0"/>
                <w:sz w:val="20"/>
                <w:szCs w:val="20"/>
              </w:rPr>
              <w:t>单位：万元</w:t>
            </w:r>
          </w:p>
        </w:tc>
      </w:tr>
      <w:tr>
        <w:tblPrEx>
          <w:tblLayout w:type="fixed"/>
          <w:tblCellMar>
            <w:top w:w="0" w:type="dxa"/>
            <w:left w:w="108" w:type="dxa"/>
            <w:bottom w:w="0" w:type="dxa"/>
            <w:right w:w="108" w:type="dxa"/>
          </w:tblCellMar>
        </w:tblPrEx>
        <w:trPr>
          <w:trHeight w:val="720" w:hRule="atLeast"/>
        </w:trPr>
        <w:tc>
          <w:tcPr>
            <w:tcW w:w="227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项目名称</w:t>
            </w:r>
          </w:p>
        </w:tc>
        <w:tc>
          <w:tcPr>
            <w:tcW w:w="1000"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一级目录代码</w:t>
            </w:r>
          </w:p>
        </w:tc>
        <w:tc>
          <w:tcPr>
            <w:tcW w:w="35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一级目录名称</w:t>
            </w:r>
          </w:p>
        </w:tc>
        <w:tc>
          <w:tcPr>
            <w:tcW w:w="35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二级目录代码</w:t>
            </w:r>
          </w:p>
        </w:tc>
        <w:tc>
          <w:tcPr>
            <w:tcW w:w="35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二级目录名称</w:t>
            </w:r>
          </w:p>
        </w:tc>
        <w:tc>
          <w:tcPr>
            <w:tcW w:w="358" w:type="dxa"/>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三级目录代码</w:t>
            </w:r>
          </w:p>
        </w:tc>
        <w:tc>
          <w:tcPr>
            <w:tcW w:w="1071"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三级目录名称</w:t>
            </w:r>
          </w:p>
        </w:tc>
        <w:tc>
          <w:tcPr>
            <w:tcW w:w="1356"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政府购买服务内容</w:t>
            </w:r>
          </w:p>
        </w:tc>
        <w:tc>
          <w:tcPr>
            <w:tcW w:w="786"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购买数量</w:t>
            </w:r>
          </w:p>
        </w:tc>
        <w:tc>
          <w:tcPr>
            <w:tcW w:w="928"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宋体" w:hAnsi="宋体" w:cs="Arial"/>
                <w:color w:val="000000"/>
                <w:kern w:val="0"/>
                <w:sz w:val="20"/>
                <w:szCs w:val="20"/>
              </w:rPr>
            </w:pPr>
            <w:r>
              <w:rPr>
                <w:rFonts w:hint="eastAsia" w:ascii="宋体" w:hAnsi="宋体" w:cs="Arial"/>
                <w:color w:val="000000"/>
                <w:kern w:val="0"/>
                <w:sz w:val="20"/>
                <w:szCs w:val="20"/>
              </w:rPr>
              <w:t>购买金额</w:t>
            </w:r>
          </w:p>
        </w:tc>
      </w:tr>
    </w:tbl>
    <w:p>
      <w:pPr>
        <w:pStyle w:val="4"/>
        <w:wordWrap w:val="0"/>
        <w:adjustRightInd w:val="0"/>
        <w:snapToGrid w:val="0"/>
        <w:spacing w:line="560" w:lineRule="exact"/>
        <w:jc w:val="center"/>
        <w:rPr>
          <w:rFonts w:ascii="TimesNewRoman" w:hAnsi="TimesNewRoman" w:cs="TimesNewRoman"/>
          <w:sz w:val="20"/>
          <w:szCs w:val="20"/>
        </w:rPr>
      </w:pPr>
    </w:p>
    <w:p>
      <w:pPr>
        <w:spacing w:line="560" w:lineRule="exact"/>
        <w:rPr>
          <w:rFonts w:ascii="TimesNewRoman" w:hAnsi="TimesNewRoman" w:cs="TimesNewRoman"/>
          <w:kern w:val="0"/>
          <w:sz w:val="24"/>
        </w:rPr>
      </w:pPr>
      <w:r>
        <w:rPr>
          <w:rFonts w:hint="eastAsia" w:ascii="TimesNewRoman" w:hAnsi="TimesNewRoman" w:cs="TimesNewRoman"/>
          <w:kern w:val="0"/>
          <w:sz w:val="24"/>
        </w:rPr>
        <w:t>寿县人大常委会办公室</w:t>
      </w:r>
      <w:r>
        <w:rPr>
          <w:rFonts w:ascii="TimesNewRoman" w:hAnsi="TimesNewRoman" w:cs="TimesNewRoman"/>
          <w:kern w:val="0"/>
          <w:sz w:val="24"/>
        </w:rPr>
        <w:t>没有安排政府购买服务支出，故本表无数据。</w:t>
      </w:r>
    </w:p>
    <w:p>
      <w:pPr>
        <w:pStyle w:val="4"/>
        <w:adjustRightInd w:val="0"/>
        <w:snapToGrid w:val="0"/>
        <w:spacing w:before="100" w:after="100" w:line="560" w:lineRule="exact"/>
        <w:ind w:firstLine="640" w:firstLineChars="200"/>
        <w:rPr>
          <w:rFonts w:ascii="TimesNewRoman" w:hAnsi="TimesNewRoman" w:eastAsia="楷体_GB2312" w:cs="TimesNewRoman"/>
          <w:bCs/>
          <w:sz w:val="32"/>
          <w:szCs w:val="32"/>
        </w:rPr>
        <w:sectPr>
          <w:pgSz w:w="11907" w:h="16840"/>
          <w:pgMar w:top="1560" w:right="1588" w:bottom="1531" w:left="1474" w:header="851" w:footer="1021" w:gutter="0"/>
          <w:cols w:space="425" w:num="1"/>
          <w:docGrid w:type="linesAndChars" w:linePitch="312" w:charSpace="0"/>
        </w:sectPr>
      </w:pPr>
    </w:p>
    <w:p>
      <w:pPr>
        <w:pStyle w:val="4"/>
        <w:topLinePunct/>
        <w:adjustRightInd w:val="0"/>
        <w:snapToGrid w:val="0"/>
        <w:spacing w:beforeAutospacing="0" w:afterAutospacing="0" w:line="560" w:lineRule="exact"/>
        <w:jc w:val="center"/>
        <w:rPr>
          <w:rFonts w:ascii="TimesNewRoman" w:hAnsi="TimesNewRoman" w:eastAsia="黑体" w:cs="TimesNewRoman"/>
          <w:bCs/>
          <w:sz w:val="36"/>
          <w:szCs w:val="36"/>
        </w:rPr>
      </w:pPr>
    </w:p>
    <w:p>
      <w:pPr>
        <w:pStyle w:val="4"/>
        <w:topLinePunct/>
        <w:adjustRightInd w:val="0"/>
        <w:snapToGrid w:val="0"/>
        <w:spacing w:beforeAutospacing="0" w:afterAutospacing="0" w:line="560" w:lineRule="exact"/>
        <w:jc w:val="center"/>
        <w:rPr>
          <w:rFonts w:ascii="TimesNewRoman" w:hAnsi="TimesNewRoman" w:eastAsia="黑体" w:cs="TimesNewRoman"/>
          <w:b/>
          <w:bCs/>
          <w:sz w:val="44"/>
          <w:szCs w:val="36"/>
        </w:rPr>
      </w:pPr>
      <w:r>
        <w:rPr>
          <w:rFonts w:ascii="TimesNewRoman" w:hAnsi="TimesNewRoman" w:eastAsia="黑体" w:cs="TimesNewRoman"/>
          <w:b/>
          <w:bCs/>
          <w:sz w:val="44"/>
          <w:szCs w:val="36"/>
        </w:rPr>
        <w:t xml:space="preserve">第三部分 </w:t>
      </w:r>
      <w:r>
        <w:rPr>
          <w:rFonts w:hint="eastAsia" w:ascii="TimesNewRoman" w:hAnsi="TimesNewRoman" w:eastAsia="黑体" w:cs="TimesNewRoman"/>
          <w:b/>
          <w:bCs/>
          <w:sz w:val="44"/>
          <w:szCs w:val="36"/>
        </w:rPr>
        <w:t>2024</w:t>
      </w:r>
      <w:r>
        <w:rPr>
          <w:rFonts w:ascii="TimesNewRoman" w:hAnsi="TimesNewRoman" w:eastAsia="黑体" w:cs="TimesNewRoman"/>
          <w:b/>
          <w:bCs/>
          <w:sz w:val="44"/>
          <w:szCs w:val="36"/>
        </w:rPr>
        <w:t>年部门（单位）预算情况说明</w:t>
      </w: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p>
    <w:p>
      <w:pPr>
        <w:pStyle w:val="4"/>
        <w:topLinePunct/>
        <w:adjustRightInd w:val="0"/>
        <w:snapToGrid w:val="0"/>
        <w:spacing w:beforeAutospacing="0" w:afterAutospacing="0" w:line="580" w:lineRule="exact"/>
        <w:ind w:firstLine="723" w:firstLineChars="200"/>
        <w:jc w:val="both"/>
        <w:rPr>
          <w:rFonts w:ascii="楷体_GB2312" w:hAnsi="TimesNewRoman" w:eastAsia="楷体_GB2312" w:cs="TimesNewRoman"/>
          <w:b/>
          <w:sz w:val="36"/>
          <w:szCs w:val="32"/>
        </w:rPr>
      </w:pPr>
      <w:r>
        <w:rPr>
          <w:rFonts w:hint="eastAsia" w:ascii="楷体_GB2312" w:hAnsi="TimesNewRoman" w:eastAsia="楷体_GB2312" w:cs="TimesNewRoman"/>
          <w:b/>
          <w:sz w:val="36"/>
          <w:szCs w:val="32"/>
        </w:rPr>
        <w:t>一、关于2024年收支总表的说明</w:t>
      </w:r>
    </w:p>
    <w:p>
      <w:pPr>
        <w:topLinePunct/>
        <w:adjustRightInd w:val="0"/>
        <w:snapToGrid w:val="0"/>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按照综合预算的原则，寿县人大常委会办公室所有收入和支出均纳入部门预算管理。寿县人大常委会办公室2024年收支总预算</w:t>
      </w:r>
      <w:r>
        <w:rPr>
          <w:rFonts w:asciiTheme="minorEastAsia" w:hAnsiTheme="minorEastAsia" w:eastAsiaTheme="minorEastAsia"/>
          <w:kern w:val="0"/>
          <w:sz w:val="32"/>
          <w:szCs w:val="32"/>
        </w:rPr>
        <w:t>806.48</w:t>
      </w:r>
      <w:r>
        <w:rPr>
          <w:rFonts w:hint="eastAsia" w:asciiTheme="minorEastAsia" w:hAnsiTheme="minorEastAsia" w:eastAsiaTheme="minorEastAsia"/>
          <w:kern w:val="0"/>
          <w:sz w:val="32"/>
          <w:szCs w:val="32"/>
        </w:rPr>
        <w:t>万元，收入全是一般公共预算拨款收入，支出仅包括：一般公共服务支出、社会保障和就业支出、住房保障支出。</w:t>
      </w:r>
    </w:p>
    <w:p>
      <w:pPr>
        <w:pStyle w:val="4"/>
        <w:topLinePunct/>
        <w:adjustRightInd w:val="0"/>
        <w:snapToGrid w:val="0"/>
        <w:spacing w:beforeAutospacing="0" w:afterAutospacing="0" w:line="580" w:lineRule="exact"/>
        <w:ind w:firstLine="627" w:firstLineChars="196"/>
        <w:jc w:val="both"/>
        <w:rPr>
          <w:rFonts w:ascii="仿宋_GB2312" w:hAnsi="TimesNewRoman" w:eastAsia="仿宋_GB2312" w:cs="TimesNewRoman"/>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二、关于2024年收入总表的说明</w:t>
      </w:r>
    </w:p>
    <w:p>
      <w:pPr>
        <w:topLinePunct/>
        <w:adjustRightInd w:val="0"/>
        <w:snapToGrid w:val="0"/>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寿县人大常委会办公室2024年收入预算</w:t>
      </w:r>
      <w:r>
        <w:rPr>
          <w:rFonts w:asciiTheme="minorEastAsia" w:hAnsiTheme="minorEastAsia" w:eastAsiaTheme="minorEastAsia"/>
          <w:kern w:val="0"/>
          <w:sz w:val="32"/>
          <w:szCs w:val="32"/>
        </w:rPr>
        <w:t>806.48</w:t>
      </w:r>
      <w:r>
        <w:rPr>
          <w:rFonts w:hint="eastAsia" w:asciiTheme="minorEastAsia" w:hAnsiTheme="minorEastAsia" w:eastAsiaTheme="minorEastAsia"/>
          <w:kern w:val="0"/>
          <w:sz w:val="32"/>
          <w:szCs w:val="32"/>
        </w:rPr>
        <w:t>万元，其中，本年收入</w:t>
      </w:r>
      <w:r>
        <w:rPr>
          <w:rFonts w:asciiTheme="minorEastAsia" w:hAnsiTheme="minorEastAsia" w:eastAsiaTheme="minorEastAsia"/>
          <w:kern w:val="0"/>
          <w:sz w:val="32"/>
          <w:szCs w:val="32"/>
        </w:rPr>
        <w:t>806.48</w:t>
      </w:r>
      <w:r>
        <w:rPr>
          <w:rFonts w:hint="eastAsia" w:asciiTheme="minorEastAsia" w:hAnsiTheme="minorEastAsia" w:eastAsiaTheme="minorEastAsia"/>
          <w:kern w:val="0"/>
          <w:sz w:val="32"/>
          <w:szCs w:val="32"/>
        </w:rPr>
        <w:t>万元，上年结转收入</w:t>
      </w:r>
      <w:r>
        <w:rPr>
          <w:rFonts w:asciiTheme="minorEastAsia" w:hAnsiTheme="minorEastAsia" w:eastAsiaTheme="minorEastAsia"/>
          <w:kern w:val="0"/>
          <w:sz w:val="32"/>
          <w:szCs w:val="32"/>
        </w:rPr>
        <w:t>0</w:t>
      </w:r>
      <w:r>
        <w:rPr>
          <w:rFonts w:hint="eastAsia" w:asciiTheme="minorEastAsia" w:hAnsiTheme="minorEastAsia" w:eastAsiaTheme="minorEastAsia"/>
          <w:kern w:val="0"/>
          <w:sz w:val="32"/>
          <w:szCs w:val="32"/>
        </w:rPr>
        <w:t>万元。</w:t>
      </w:r>
    </w:p>
    <w:p>
      <w:pPr>
        <w:topLinePunct/>
        <w:adjustRightInd w:val="0"/>
        <w:snapToGrid w:val="0"/>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（一）本年收入</w:t>
      </w:r>
      <w:r>
        <w:rPr>
          <w:rFonts w:asciiTheme="minorEastAsia" w:hAnsiTheme="minorEastAsia" w:eastAsiaTheme="minorEastAsia"/>
          <w:kern w:val="0"/>
          <w:sz w:val="32"/>
          <w:szCs w:val="32"/>
        </w:rPr>
        <w:t>806.48</w:t>
      </w:r>
      <w:r>
        <w:rPr>
          <w:rFonts w:hint="eastAsia" w:asciiTheme="minorEastAsia" w:hAnsiTheme="minorEastAsia" w:eastAsiaTheme="minorEastAsia"/>
          <w:kern w:val="0"/>
          <w:sz w:val="32"/>
          <w:szCs w:val="32"/>
        </w:rPr>
        <w:t>万元，全部都是一般公共预算拨款，本年一般公共预算拨款收入</w:t>
      </w:r>
      <w:r>
        <w:rPr>
          <w:rFonts w:asciiTheme="minorEastAsia" w:hAnsiTheme="minorEastAsia" w:eastAsiaTheme="minorEastAsia"/>
          <w:kern w:val="0"/>
          <w:sz w:val="32"/>
          <w:szCs w:val="32"/>
        </w:rPr>
        <w:t>806.48</w:t>
      </w:r>
      <w:r>
        <w:rPr>
          <w:rFonts w:hint="eastAsia" w:asciiTheme="minorEastAsia" w:hAnsiTheme="minorEastAsia" w:eastAsiaTheme="minorEastAsia"/>
          <w:kern w:val="0"/>
          <w:sz w:val="32"/>
          <w:szCs w:val="32"/>
        </w:rPr>
        <w:t>万元，占</w:t>
      </w:r>
      <w:r>
        <w:rPr>
          <w:rFonts w:asciiTheme="minorEastAsia" w:hAnsiTheme="minorEastAsia" w:eastAsiaTheme="minorEastAsia"/>
          <w:kern w:val="0"/>
          <w:sz w:val="32"/>
          <w:szCs w:val="32"/>
        </w:rPr>
        <w:t>100</w:t>
      </w:r>
      <w:r>
        <w:rPr>
          <w:rFonts w:hint="eastAsia" w:asciiTheme="minorEastAsia" w:hAnsiTheme="minorEastAsia" w:eastAsiaTheme="minorEastAsia"/>
          <w:kern w:val="0"/>
          <w:sz w:val="32"/>
          <w:szCs w:val="32"/>
        </w:rPr>
        <w:t>%，比2023年预算增加2</w:t>
      </w:r>
      <w:r>
        <w:rPr>
          <w:rFonts w:asciiTheme="minorEastAsia" w:hAnsiTheme="minorEastAsia" w:eastAsiaTheme="minorEastAsia"/>
          <w:kern w:val="0"/>
          <w:sz w:val="32"/>
          <w:szCs w:val="32"/>
        </w:rPr>
        <w:t>03.03</w:t>
      </w:r>
      <w:r>
        <w:rPr>
          <w:rFonts w:hint="eastAsia" w:asciiTheme="minorEastAsia" w:hAnsiTheme="minorEastAsia" w:eastAsiaTheme="minorEastAsia"/>
          <w:kern w:val="0"/>
          <w:sz w:val="32"/>
          <w:szCs w:val="32"/>
        </w:rPr>
        <w:t>万元，增长3</w:t>
      </w:r>
      <w:r>
        <w:rPr>
          <w:rFonts w:asciiTheme="minorEastAsia" w:hAnsiTheme="minorEastAsia" w:eastAsiaTheme="minorEastAsia"/>
          <w:kern w:val="0"/>
          <w:sz w:val="32"/>
          <w:szCs w:val="32"/>
        </w:rPr>
        <w:t>3.64</w:t>
      </w:r>
      <w:r>
        <w:rPr>
          <w:rFonts w:hint="eastAsia" w:asciiTheme="minorEastAsia" w:hAnsiTheme="minorEastAsia" w:eastAsiaTheme="minorEastAsia"/>
          <w:kern w:val="0"/>
          <w:sz w:val="32"/>
          <w:szCs w:val="32"/>
        </w:rPr>
        <w:t>%，增长原因主要是人员调整及各项福利工资调整。</w:t>
      </w:r>
    </w:p>
    <w:p>
      <w:pPr>
        <w:topLinePunct/>
        <w:adjustRightInd w:val="0"/>
        <w:snapToGrid w:val="0"/>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（二）上年结转收入</w:t>
      </w:r>
      <w:r>
        <w:rPr>
          <w:rFonts w:asciiTheme="minorEastAsia" w:hAnsiTheme="minorEastAsia" w:eastAsiaTheme="minorEastAsia"/>
          <w:kern w:val="0"/>
          <w:sz w:val="32"/>
          <w:szCs w:val="32"/>
        </w:rPr>
        <w:t>0</w:t>
      </w:r>
      <w:r>
        <w:rPr>
          <w:rFonts w:hint="eastAsia" w:asciiTheme="minorEastAsia" w:hAnsiTheme="minorEastAsia" w:eastAsiaTheme="minorEastAsia"/>
          <w:kern w:val="0"/>
          <w:sz w:val="32"/>
          <w:szCs w:val="32"/>
        </w:rPr>
        <w:t>万元，</w:t>
      </w:r>
      <w:r>
        <w:rPr>
          <w:rFonts w:asciiTheme="minorEastAsia" w:hAnsiTheme="minorEastAsia" w:eastAsiaTheme="minorEastAsia"/>
          <w:kern w:val="0"/>
          <w:sz w:val="32"/>
          <w:szCs w:val="32"/>
        </w:rPr>
        <w:t xml:space="preserve"> </w:t>
      </w:r>
    </w:p>
    <w:p>
      <w:pPr>
        <w:topLinePunct/>
        <w:adjustRightInd w:val="0"/>
        <w:snapToGrid w:val="0"/>
        <w:spacing w:line="580" w:lineRule="exact"/>
        <w:ind w:firstLine="640" w:firstLineChars="200"/>
        <w:rPr>
          <w:rFonts w:asciiTheme="minorEastAsia" w:hAnsiTheme="minorEastAsia" w:eastAsiaTheme="minorEastAsia"/>
          <w:kern w:val="0"/>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三、关于2024年支出总表的说明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寿县人大常委会办公室2024年支出预算</w:t>
      </w:r>
      <w:r>
        <w:rPr>
          <w:rFonts w:asciiTheme="minorEastAsia" w:hAnsiTheme="minorEastAsia" w:eastAsiaTheme="minorEastAsia"/>
          <w:sz w:val="32"/>
          <w:szCs w:val="32"/>
        </w:rPr>
        <w:t>806.48</w:t>
      </w:r>
      <w:r>
        <w:rPr>
          <w:rFonts w:hint="eastAsia" w:asciiTheme="minorEastAsia" w:hAnsiTheme="minorEastAsia" w:eastAsiaTheme="minorEastAsia"/>
          <w:sz w:val="32"/>
          <w:szCs w:val="32"/>
        </w:rPr>
        <w:t>万元，比2023年预算增加2</w:t>
      </w:r>
      <w:r>
        <w:rPr>
          <w:rFonts w:asciiTheme="minorEastAsia" w:hAnsiTheme="minorEastAsia" w:eastAsiaTheme="minorEastAsia"/>
          <w:sz w:val="32"/>
          <w:szCs w:val="32"/>
        </w:rPr>
        <w:t>03.03</w:t>
      </w:r>
      <w:r>
        <w:rPr>
          <w:rFonts w:hint="eastAsia" w:asciiTheme="minorEastAsia" w:hAnsiTheme="minorEastAsia" w:eastAsiaTheme="minorEastAsia"/>
          <w:sz w:val="32"/>
          <w:szCs w:val="32"/>
        </w:rPr>
        <w:t>万元，增长3</w:t>
      </w:r>
      <w:r>
        <w:rPr>
          <w:rFonts w:asciiTheme="minorEastAsia" w:hAnsiTheme="minorEastAsia" w:eastAsiaTheme="minorEastAsia"/>
          <w:sz w:val="32"/>
          <w:szCs w:val="32"/>
        </w:rPr>
        <w:t>3.64</w:t>
      </w:r>
      <w:r>
        <w:rPr>
          <w:rFonts w:hint="eastAsia" w:asciiTheme="minorEastAsia" w:hAnsiTheme="minorEastAsia" w:eastAsiaTheme="minorEastAsia"/>
          <w:sz w:val="32"/>
          <w:szCs w:val="32"/>
        </w:rPr>
        <w:t>%，增长原因主要是人员调整及各项福利工资调整。其中，基本支出576.0</w:t>
      </w:r>
      <w:r>
        <w:rPr>
          <w:rFonts w:asciiTheme="minorEastAsia" w:hAnsiTheme="minorEastAsia" w:eastAsiaTheme="minorEastAsia"/>
          <w:sz w:val="32"/>
          <w:szCs w:val="32"/>
        </w:rPr>
        <w:t>7</w:t>
      </w:r>
      <w:r>
        <w:rPr>
          <w:rFonts w:hint="eastAsia" w:asciiTheme="minorEastAsia" w:hAnsiTheme="minorEastAsia" w:eastAsiaTheme="minorEastAsia"/>
          <w:sz w:val="32"/>
          <w:szCs w:val="32"/>
        </w:rPr>
        <w:t>万元，占7</w:t>
      </w:r>
      <w:r>
        <w:rPr>
          <w:rFonts w:asciiTheme="minorEastAsia" w:hAnsiTheme="minorEastAsia" w:eastAsiaTheme="minorEastAsia"/>
          <w:sz w:val="32"/>
          <w:szCs w:val="32"/>
        </w:rPr>
        <w:t>1.43</w:t>
      </w:r>
      <w:r>
        <w:rPr>
          <w:rFonts w:hint="eastAsia" w:asciiTheme="minorEastAsia" w:hAnsiTheme="minorEastAsia" w:eastAsiaTheme="minorEastAsia"/>
          <w:sz w:val="32"/>
          <w:szCs w:val="32"/>
        </w:rPr>
        <w:t>%，主要用于保障机构日常运转、各项人员工资待遇发放；项目支出</w:t>
      </w:r>
      <w:r>
        <w:rPr>
          <w:rFonts w:asciiTheme="minorEastAsia" w:hAnsiTheme="minorEastAsia" w:eastAsiaTheme="minorEastAsia"/>
          <w:sz w:val="32"/>
          <w:szCs w:val="32"/>
        </w:rPr>
        <w:t>230.41</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28.57</w:t>
      </w:r>
      <w:r>
        <w:rPr>
          <w:rFonts w:hint="eastAsia" w:asciiTheme="minorEastAsia" w:hAnsiTheme="minorEastAsia" w:eastAsiaTheme="minorEastAsia"/>
          <w:sz w:val="32"/>
          <w:szCs w:val="32"/>
        </w:rPr>
        <w:t>%，主要用于保障人大日常运转，各项职能正常发挥，人大代表履职能力提升等。</w:t>
      </w:r>
    </w:p>
    <w:p>
      <w:pPr>
        <w:widowControl/>
        <w:rPr>
          <w:rFonts w:ascii="宋体" w:hAnsi="宋体" w:cs="Arial"/>
          <w:color w:val="000000"/>
          <w:kern w:val="0"/>
          <w:sz w:val="20"/>
          <w:szCs w:val="20"/>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四、关于2024年财政拨款收支总表的说明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寿县人大常委会办公室2024年财政拨款收支预算</w:t>
      </w:r>
      <w:r>
        <w:rPr>
          <w:rFonts w:asciiTheme="minorEastAsia" w:hAnsiTheme="minorEastAsia" w:eastAsiaTheme="minorEastAsia"/>
          <w:sz w:val="32"/>
          <w:szCs w:val="32"/>
        </w:rPr>
        <w:t>806.48</w:t>
      </w:r>
      <w:r>
        <w:rPr>
          <w:rFonts w:hint="eastAsia" w:asciiTheme="minorEastAsia" w:hAnsiTheme="minorEastAsia" w:eastAsiaTheme="minorEastAsia"/>
          <w:sz w:val="32"/>
          <w:szCs w:val="32"/>
        </w:rPr>
        <w:t>万元。收入按资金来源均为一般公共预算拨款</w:t>
      </w:r>
      <w:r>
        <w:rPr>
          <w:rFonts w:asciiTheme="minorEastAsia" w:hAnsiTheme="minorEastAsia" w:eastAsiaTheme="minorEastAsia"/>
          <w:sz w:val="32"/>
          <w:szCs w:val="32"/>
        </w:rPr>
        <w:t>806.48</w:t>
      </w:r>
      <w:r>
        <w:rPr>
          <w:rFonts w:hint="eastAsia" w:asciiTheme="minorEastAsia" w:hAnsiTheme="minorEastAsia" w:eastAsiaTheme="minorEastAsia"/>
          <w:sz w:val="32"/>
          <w:szCs w:val="32"/>
        </w:rPr>
        <w:t>万元；按资金年度分为：本年财政拨款收入</w:t>
      </w:r>
      <w:r>
        <w:rPr>
          <w:rFonts w:asciiTheme="minorEastAsia" w:hAnsiTheme="minorEastAsia" w:eastAsiaTheme="minorEastAsia"/>
          <w:sz w:val="32"/>
          <w:szCs w:val="32"/>
        </w:rPr>
        <w:t>806.48</w:t>
      </w:r>
      <w:r>
        <w:rPr>
          <w:rFonts w:hint="eastAsia" w:asciiTheme="minorEastAsia" w:hAnsiTheme="minorEastAsia" w:eastAsiaTheme="minorEastAsia"/>
          <w:sz w:val="32"/>
          <w:szCs w:val="32"/>
        </w:rPr>
        <w:t>万元，上年结转收入</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万元。支出按功能分类分为：一般公共服务支出</w:t>
      </w:r>
      <w:r>
        <w:rPr>
          <w:rFonts w:asciiTheme="minorEastAsia" w:hAnsiTheme="minorEastAsia" w:eastAsiaTheme="minorEastAsia"/>
          <w:sz w:val="32"/>
          <w:szCs w:val="32"/>
        </w:rPr>
        <w:t>554.85</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68.80</w:t>
      </w:r>
      <w:r>
        <w:rPr>
          <w:rFonts w:hint="eastAsia" w:asciiTheme="minorEastAsia" w:hAnsiTheme="minorEastAsia" w:eastAsiaTheme="minorEastAsia"/>
          <w:sz w:val="32"/>
          <w:szCs w:val="32"/>
        </w:rPr>
        <w:t>%；社会保障和就业支出</w:t>
      </w:r>
      <w:r>
        <w:rPr>
          <w:rFonts w:asciiTheme="minorEastAsia" w:hAnsiTheme="minorEastAsia" w:eastAsiaTheme="minorEastAsia"/>
          <w:sz w:val="32"/>
          <w:szCs w:val="32"/>
        </w:rPr>
        <w:t>223.68</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27.74</w:t>
      </w:r>
      <w:r>
        <w:rPr>
          <w:rFonts w:hint="eastAsia" w:asciiTheme="minorEastAsia" w:hAnsiTheme="minorEastAsia" w:eastAsiaTheme="minorEastAsia"/>
          <w:sz w:val="32"/>
          <w:szCs w:val="32"/>
        </w:rPr>
        <w:t>%；住房保障支出</w:t>
      </w:r>
      <w:r>
        <w:rPr>
          <w:rFonts w:asciiTheme="minorEastAsia" w:hAnsiTheme="minorEastAsia" w:eastAsiaTheme="minorEastAsia"/>
          <w:sz w:val="32"/>
          <w:szCs w:val="32"/>
        </w:rPr>
        <w:t>27.96</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3.47</w:t>
      </w:r>
      <w:r>
        <w:rPr>
          <w:rFonts w:hint="eastAsia" w:asciiTheme="minorEastAsia" w:hAnsiTheme="minorEastAsia" w:eastAsiaTheme="minorEastAsia"/>
          <w:sz w:val="32"/>
          <w:szCs w:val="32"/>
        </w:rPr>
        <w:t>%。</w:t>
      </w:r>
    </w:p>
    <w:p>
      <w:pPr>
        <w:pStyle w:val="4"/>
        <w:topLinePunct/>
        <w:adjustRightInd w:val="0"/>
        <w:snapToGrid w:val="0"/>
        <w:spacing w:beforeAutospacing="0" w:afterAutospacing="0" w:line="580" w:lineRule="exact"/>
        <w:ind w:firstLine="640" w:firstLineChars="200"/>
        <w:jc w:val="both"/>
        <w:rPr>
          <w:rFonts w:ascii="仿宋_GB2312" w:hAnsi="TimesNewRoman" w:eastAsia="仿宋_GB2312" w:cs="TimesNewRoman"/>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五、关于2024年一般公共预算支出表的说明</w:t>
      </w:r>
    </w:p>
    <w:p>
      <w:pPr>
        <w:pStyle w:val="4"/>
        <w:topLinePunct/>
        <w:adjustRightInd w:val="0"/>
        <w:snapToGrid w:val="0"/>
        <w:spacing w:beforeAutospacing="0" w:afterAutospacing="0" w:line="580" w:lineRule="exact"/>
        <w:ind w:firstLine="630" w:firstLineChars="196"/>
        <w:jc w:val="both"/>
        <w:rPr>
          <w:rFonts w:ascii="仿宋_GB2312" w:hAnsi="TimesNewRoman" w:eastAsia="仿宋_GB2312" w:cs="TimesNewRoman"/>
          <w:b/>
          <w:sz w:val="32"/>
          <w:szCs w:val="32"/>
        </w:rPr>
      </w:pPr>
      <w:r>
        <w:rPr>
          <w:rFonts w:hint="eastAsia" w:ascii="仿宋_GB2312" w:hAnsi="TimesNewRoman" w:eastAsia="仿宋_GB2312" w:cs="TimesNewRoman"/>
          <w:b/>
          <w:sz w:val="32"/>
          <w:szCs w:val="32"/>
        </w:rPr>
        <w:t>（一）一般公共预算支出规模变化情况。</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寿县人大常委会办公室2024年一般公共预算支出</w:t>
      </w:r>
      <w:r>
        <w:rPr>
          <w:rFonts w:asciiTheme="minorEastAsia" w:hAnsiTheme="minorEastAsia" w:eastAsiaTheme="minorEastAsia"/>
          <w:sz w:val="32"/>
          <w:szCs w:val="32"/>
        </w:rPr>
        <w:t>806.48</w:t>
      </w:r>
      <w:r>
        <w:rPr>
          <w:rFonts w:hint="eastAsia" w:asciiTheme="minorEastAsia" w:hAnsiTheme="minorEastAsia" w:eastAsiaTheme="minorEastAsia"/>
          <w:sz w:val="32"/>
          <w:szCs w:val="32"/>
        </w:rPr>
        <w:t>万元，比2023年预算增加2</w:t>
      </w:r>
      <w:r>
        <w:rPr>
          <w:rFonts w:asciiTheme="minorEastAsia" w:hAnsiTheme="minorEastAsia" w:eastAsiaTheme="minorEastAsia"/>
          <w:sz w:val="32"/>
          <w:szCs w:val="32"/>
        </w:rPr>
        <w:t>03.03</w:t>
      </w:r>
      <w:r>
        <w:rPr>
          <w:rFonts w:hint="eastAsia" w:asciiTheme="minorEastAsia" w:hAnsiTheme="minorEastAsia" w:eastAsiaTheme="minorEastAsia"/>
          <w:sz w:val="32"/>
          <w:szCs w:val="32"/>
        </w:rPr>
        <w:t>万元，增长3</w:t>
      </w:r>
      <w:r>
        <w:rPr>
          <w:rFonts w:asciiTheme="minorEastAsia" w:hAnsiTheme="minorEastAsia" w:eastAsiaTheme="minorEastAsia"/>
          <w:sz w:val="32"/>
          <w:szCs w:val="32"/>
        </w:rPr>
        <w:t>3.64</w:t>
      </w:r>
      <w:r>
        <w:rPr>
          <w:rFonts w:hint="eastAsia" w:asciiTheme="minorEastAsia" w:hAnsiTheme="minorEastAsia" w:eastAsiaTheme="minorEastAsia"/>
          <w:sz w:val="32"/>
          <w:szCs w:val="32"/>
        </w:rPr>
        <w:t>%，主要原因是2</w:t>
      </w:r>
      <w:r>
        <w:rPr>
          <w:rFonts w:asciiTheme="minorEastAsia" w:hAnsiTheme="minorEastAsia" w:eastAsiaTheme="minorEastAsia"/>
          <w:sz w:val="32"/>
          <w:szCs w:val="32"/>
        </w:rPr>
        <w:t>024</w:t>
      </w:r>
      <w:r>
        <w:rPr>
          <w:rFonts w:hint="eastAsia" w:asciiTheme="minorEastAsia" w:hAnsiTheme="minorEastAsia" w:eastAsiaTheme="minorEastAsia"/>
          <w:sz w:val="32"/>
          <w:szCs w:val="32"/>
        </w:rPr>
        <w:t>年人员变动及配套工资待遇调整。</w:t>
      </w:r>
    </w:p>
    <w:p>
      <w:pPr>
        <w:pStyle w:val="4"/>
        <w:topLinePunct/>
        <w:adjustRightInd w:val="0"/>
        <w:snapToGrid w:val="0"/>
        <w:spacing w:beforeAutospacing="0" w:afterAutospacing="0" w:line="580" w:lineRule="exact"/>
        <w:ind w:firstLine="627" w:firstLineChars="196"/>
        <w:jc w:val="both"/>
        <w:rPr>
          <w:rFonts w:ascii="仿宋_GB2312" w:hAnsi="TimesNewRoman" w:eastAsia="仿宋_GB2312" w:cs="TimesNewRoman"/>
          <w:sz w:val="32"/>
          <w:szCs w:val="32"/>
        </w:rPr>
      </w:pPr>
    </w:p>
    <w:p>
      <w:pPr>
        <w:pStyle w:val="4"/>
        <w:topLinePunct/>
        <w:adjustRightInd w:val="0"/>
        <w:snapToGrid w:val="0"/>
        <w:spacing w:beforeAutospacing="0" w:afterAutospacing="0" w:line="580" w:lineRule="exact"/>
        <w:ind w:firstLine="630" w:firstLineChars="196"/>
        <w:jc w:val="both"/>
        <w:rPr>
          <w:rFonts w:ascii="仿宋_GB2312" w:hAnsi="TimesNewRoman" w:eastAsia="仿宋_GB2312" w:cs="TimesNewRoman"/>
          <w:b/>
          <w:sz w:val="32"/>
          <w:szCs w:val="32"/>
        </w:rPr>
      </w:pPr>
      <w:r>
        <w:rPr>
          <w:rFonts w:hint="eastAsia" w:ascii="仿宋_GB2312" w:hAnsi="TimesNewRoman" w:eastAsia="仿宋_GB2312" w:cs="TimesNewRoman"/>
          <w:b/>
          <w:sz w:val="32"/>
          <w:szCs w:val="32"/>
        </w:rPr>
        <w:t>（二）一般公共预算支出结构情况。</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一般公共服务支出</w:t>
      </w:r>
      <w:r>
        <w:rPr>
          <w:rFonts w:asciiTheme="minorEastAsia" w:hAnsiTheme="minorEastAsia" w:eastAsiaTheme="minorEastAsia"/>
          <w:sz w:val="32"/>
          <w:szCs w:val="32"/>
        </w:rPr>
        <w:t>554.85</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68.80</w:t>
      </w:r>
      <w:r>
        <w:rPr>
          <w:rFonts w:hint="eastAsia" w:asciiTheme="minorEastAsia" w:hAnsiTheme="minorEastAsia" w:eastAsiaTheme="minorEastAsia"/>
          <w:sz w:val="32"/>
          <w:szCs w:val="32"/>
        </w:rPr>
        <w:t>%；社会保障和就业支出</w:t>
      </w:r>
      <w:r>
        <w:rPr>
          <w:rFonts w:asciiTheme="minorEastAsia" w:hAnsiTheme="minorEastAsia" w:eastAsiaTheme="minorEastAsia"/>
          <w:sz w:val="32"/>
          <w:szCs w:val="32"/>
        </w:rPr>
        <w:t>223.68</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27.74</w:t>
      </w:r>
      <w:r>
        <w:rPr>
          <w:rFonts w:hint="eastAsia" w:asciiTheme="minorEastAsia" w:hAnsiTheme="minorEastAsia" w:eastAsiaTheme="minorEastAsia"/>
          <w:sz w:val="32"/>
          <w:szCs w:val="32"/>
        </w:rPr>
        <w:t>%；住房保障支出</w:t>
      </w:r>
      <w:r>
        <w:rPr>
          <w:rFonts w:asciiTheme="minorEastAsia" w:hAnsiTheme="minorEastAsia" w:eastAsiaTheme="minorEastAsia"/>
          <w:sz w:val="32"/>
          <w:szCs w:val="32"/>
        </w:rPr>
        <w:t>27.96</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3.47</w:t>
      </w:r>
      <w:r>
        <w:rPr>
          <w:rFonts w:hint="eastAsia" w:asciiTheme="minorEastAsia" w:hAnsiTheme="minorEastAsia" w:eastAsiaTheme="minorEastAsia"/>
          <w:sz w:val="32"/>
          <w:szCs w:val="32"/>
        </w:rPr>
        <w:t>%。</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p>
    <w:p>
      <w:pPr>
        <w:topLinePunct/>
        <w:adjustRightInd w:val="0"/>
        <w:snapToGrid w:val="0"/>
        <w:spacing w:line="58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（三）一般公共预算支出具体使用情况。</w:t>
      </w:r>
    </w:p>
    <w:p>
      <w:pPr>
        <w:topLinePunct/>
        <w:adjustRightInd w:val="0"/>
        <w:snapToGrid w:val="0"/>
        <w:spacing w:line="580" w:lineRule="exact"/>
        <w:ind w:firstLine="643" w:firstLineChars="200"/>
        <w:rPr>
          <w:rFonts w:ascii="仿宋_GB2312" w:hAnsi="TimesNewRoman" w:eastAsia="仿宋_GB2312" w:cs="TimesNewRoman"/>
          <w:sz w:val="32"/>
          <w:szCs w:val="32"/>
        </w:rPr>
      </w:pPr>
      <w:r>
        <w:rPr>
          <w:rFonts w:hint="eastAsia" w:ascii="仿宋_GB2312" w:hAnsi="TimesNewRoman" w:eastAsia="仿宋_GB2312" w:cs="TimesNewRoman"/>
          <w:b/>
          <w:sz w:val="32"/>
          <w:szCs w:val="32"/>
        </w:rPr>
        <w:t>1.</w:t>
      </w:r>
      <w:r>
        <w:rPr>
          <w:rFonts w:hint="eastAsia" w:ascii="仿宋_GB2312" w:hAnsi="仿宋" w:eastAsia="仿宋_GB2312"/>
          <w:b/>
          <w:sz w:val="32"/>
          <w:szCs w:val="32"/>
        </w:rPr>
        <w:t xml:space="preserve"> 一般公共服务支出（类）人大事务（款）行政运行、人大代表履职能力提升、一般行政管理事务支出（项）</w:t>
      </w:r>
      <w:r>
        <w:rPr>
          <w:rFonts w:hint="eastAsia" w:asciiTheme="minorEastAsia" w:hAnsiTheme="minorEastAsia" w:eastAsiaTheme="minorEastAsia"/>
          <w:kern w:val="0"/>
          <w:sz w:val="32"/>
          <w:szCs w:val="32"/>
        </w:rPr>
        <w:t>2024年预算</w:t>
      </w:r>
      <w:r>
        <w:rPr>
          <w:rFonts w:asciiTheme="minorEastAsia" w:hAnsiTheme="minorEastAsia" w:eastAsiaTheme="minorEastAsia"/>
          <w:kern w:val="0"/>
          <w:sz w:val="32"/>
          <w:szCs w:val="32"/>
        </w:rPr>
        <w:t>554.85</w:t>
      </w:r>
      <w:r>
        <w:rPr>
          <w:rFonts w:hint="eastAsia" w:asciiTheme="minorEastAsia" w:hAnsiTheme="minorEastAsia" w:eastAsiaTheme="minorEastAsia"/>
          <w:kern w:val="0"/>
          <w:sz w:val="32"/>
          <w:szCs w:val="32"/>
        </w:rPr>
        <w:t>万元，比2023年预算增加</w:t>
      </w:r>
      <w:r>
        <w:rPr>
          <w:rFonts w:asciiTheme="minorEastAsia" w:hAnsiTheme="minorEastAsia" w:eastAsiaTheme="minorEastAsia"/>
          <w:kern w:val="0"/>
          <w:sz w:val="32"/>
          <w:szCs w:val="32"/>
        </w:rPr>
        <w:t>55.26</w:t>
      </w:r>
      <w:r>
        <w:rPr>
          <w:rFonts w:hint="eastAsia" w:asciiTheme="minorEastAsia" w:hAnsiTheme="minorEastAsia" w:eastAsiaTheme="minorEastAsia"/>
          <w:kern w:val="0"/>
          <w:sz w:val="32"/>
          <w:szCs w:val="32"/>
        </w:rPr>
        <w:t>万元，增长1</w:t>
      </w:r>
      <w:r>
        <w:rPr>
          <w:rFonts w:asciiTheme="minorEastAsia" w:hAnsiTheme="minorEastAsia" w:eastAsiaTheme="minorEastAsia"/>
          <w:kern w:val="0"/>
          <w:sz w:val="32"/>
          <w:szCs w:val="32"/>
        </w:rPr>
        <w:t>1.06</w:t>
      </w:r>
      <w:r>
        <w:rPr>
          <w:rFonts w:hint="eastAsia" w:asciiTheme="minorEastAsia" w:hAnsiTheme="minorEastAsia" w:eastAsiaTheme="minorEastAsia"/>
          <w:kern w:val="0"/>
          <w:sz w:val="32"/>
          <w:szCs w:val="32"/>
        </w:rPr>
        <w:t>%，增长原因主要是本年预算将人大项目均纳入一般行政管理事务支出。</w:t>
      </w:r>
      <w:r>
        <w:rPr>
          <w:rFonts w:asciiTheme="minorEastAsia" w:hAnsiTheme="minorEastAsia" w:eastAsiaTheme="minorEastAsia"/>
          <w:kern w:val="0"/>
          <w:sz w:val="32"/>
          <w:szCs w:val="32"/>
        </w:rPr>
        <w:t xml:space="preserve"> </w:t>
      </w:r>
    </w:p>
    <w:p>
      <w:pPr>
        <w:topLinePunct/>
        <w:adjustRightInd w:val="0"/>
        <w:snapToGrid w:val="0"/>
        <w:spacing w:line="580" w:lineRule="exact"/>
        <w:ind w:firstLine="643" w:firstLineChars="200"/>
        <w:rPr>
          <w:rFonts w:ascii="仿宋_GB2312" w:hAnsi="TimesNewRoman" w:eastAsia="仿宋_GB2312" w:cs="TimesNewRoman"/>
          <w:sz w:val="32"/>
          <w:szCs w:val="32"/>
        </w:rPr>
      </w:pPr>
      <w:r>
        <w:rPr>
          <w:rFonts w:hint="eastAsia" w:ascii="仿宋_GB2312" w:hAnsi="TimesNewRoman" w:eastAsia="仿宋_GB2312" w:cs="TimesNewRoman"/>
          <w:b/>
          <w:sz w:val="32"/>
          <w:szCs w:val="32"/>
        </w:rPr>
        <w:t>2.</w:t>
      </w:r>
      <w:r>
        <w:rPr>
          <w:rFonts w:hint="eastAsia" w:ascii="仿宋_GB2312" w:hAnsi="仿宋" w:eastAsia="仿宋_GB2312"/>
          <w:b/>
          <w:sz w:val="32"/>
          <w:szCs w:val="32"/>
        </w:rPr>
        <w:t xml:space="preserve"> 社会保障和就业支出（类）行政事业单位养老支出（款）机关事业单位基本养老保险缴费、机关事业单位职业年金缴费支出（项）行政单位离退休（项）</w:t>
      </w:r>
      <w:r>
        <w:rPr>
          <w:rFonts w:hint="eastAsia" w:asciiTheme="minorEastAsia" w:hAnsiTheme="minorEastAsia" w:eastAsiaTheme="minorEastAsia"/>
          <w:kern w:val="0"/>
          <w:sz w:val="32"/>
          <w:szCs w:val="32"/>
        </w:rPr>
        <w:t>202</w:t>
      </w:r>
      <w:r>
        <w:rPr>
          <w:rFonts w:asciiTheme="minorEastAsia" w:hAnsiTheme="minorEastAsia" w:eastAsiaTheme="minorEastAsia"/>
          <w:kern w:val="0"/>
          <w:sz w:val="32"/>
          <w:szCs w:val="32"/>
        </w:rPr>
        <w:t>4</w:t>
      </w:r>
      <w:r>
        <w:rPr>
          <w:rFonts w:hint="eastAsia" w:asciiTheme="minorEastAsia" w:hAnsiTheme="minorEastAsia" w:eastAsiaTheme="minorEastAsia"/>
          <w:kern w:val="0"/>
          <w:sz w:val="32"/>
          <w:szCs w:val="32"/>
        </w:rPr>
        <w:t>年预算</w:t>
      </w:r>
      <w:r>
        <w:rPr>
          <w:rFonts w:asciiTheme="minorEastAsia" w:hAnsiTheme="minorEastAsia" w:eastAsiaTheme="minorEastAsia"/>
          <w:kern w:val="0"/>
          <w:sz w:val="32"/>
          <w:szCs w:val="32"/>
        </w:rPr>
        <w:t>223.68</w:t>
      </w:r>
      <w:r>
        <w:rPr>
          <w:rFonts w:hint="eastAsia" w:asciiTheme="minorEastAsia" w:hAnsiTheme="minorEastAsia" w:eastAsiaTheme="minorEastAsia"/>
          <w:kern w:val="0"/>
          <w:sz w:val="32"/>
          <w:szCs w:val="32"/>
        </w:rPr>
        <w:t>比2023年预算增加1</w:t>
      </w:r>
      <w:r>
        <w:rPr>
          <w:rFonts w:asciiTheme="minorEastAsia" w:hAnsiTheme="minorEastAsia" w:eastAsiaTheme="minorEastAsia"/>
          <w:kern w:val="0"/>
          <w:sz w:val="32"/>
          <w:szCs w:val="32"/>
        </w:rPr>
        <w:t>71.43</w:t>
      </w:r>
      <w:r>
        <w:rPr>
          <w:rFonts w:hint="eastAsia" w:asciiTheme="minorEastAsia" w:hAnsiTheme="minorEastAsia" w:eastAsiaTheme="minorEastAsia"/>
          <w:kern w:val="0"/>
          <w:sz w:val="32"/>
          <w:szCs w:val="32"/>
        </w:rPr>
        <w:t>万元，增长5</w:t>
      </w:r>
      <w:r>
        <w:rPr>
          <w:rFonts w:asciiTheme="minorEastAsia" w:hAnsiTheme="minorEastAsia" w:eastAsiaTheme="minorEastAsia"/>
          <w:kern w:val="0"/>
          <w:sz w:val="32"/>
          <w:szCs w:val="32"/>
        </w:rPr>
        <w:t>2.25</w:t>
      </w:r>
      <w:r>
        <w:rPr>
          <w:rFonts w:hint="eastAsia" w:asciiTheme="minorEastAsia" w:hAnsiTheme="minorEastAsia" w:eastAsiaTheme="minorEastAsia"/>
          <w:kern w:val="0"/>
          <w:sz w:val="32"/>
          <w:szCs w:val="32"/>
        </w:rPr>
        <w:t>%，增长原因主要是本年离退休费用增加以及社保缴费基数提升。</w:t>
      </w:r>
    </w:p>
    <w:p>
      <w:pPr>
        <w:topLinePunct/>
        <w:adjustRightInd w:val="0"/>
        <w:snapToGrid w:val="0"/>
        <w:spacing w:line="580" w:lineRule="exact"/>
        <w:ind w:firstLine="643" w:firstLineChars="200"/>
        <w:rPr>
          <w:rFonts w:ascii="仿宋_GB2312" w:hAnsi="TimesNewRoman" w:eastAsia="仿宋_GB2312" w:cs="TimesNewRoman"/>
          <w:sz w:val="32"/>
          <w:szCs w:val="32"/>
        </w:rPr>
      </w:pPr>
      <w:r>
        <w:rPr>
          <w:rFonts w:ascii="仿宋_GB2312" w:hAnsi="TimesNewRoman" w:eastAsia="仿宋_GB2312" w:cs="TimesNewRoman"/>
          <w:b/>
          <w:sz w:val="32"/>
          <w:szCs w:val="32"/>
        </w:rPr>
        <w:t>3</w:t>
      </w:r>
      <w:r>
        <w:rPr>
          <w:rFonts w:hint="eastAsia" w:ascii="仿宋_GB2312" w:hAnsi="TimesNewRoman" w:eastAsia="仿宋_GB2312" w:cs="TimesNewRoman"/>
          <w:b/>
          <w:sz w:val="32"/>
          <w:szCs w:val="32"/>
        </w:rPr>
        <w:t>.住房保障支出（类）住房改革支出（款）住房公积金（项）</w:t>
      </w:r>
      <w:r>
        <w:rPr>
          <w:rFonts w:hint="eastAsia" w:asciiTheme="minorEastAsia" w:hAnsiTheme="minorEastAsia" w:eastAsiaTheme="minorEastAsia"/>
          <w:kern w:val="0"/>
          <w:sz w:val="32"/>
          <w:szCs w:val="32"/>
        </w:rPr>
        <w:t>2024年预算</w:t>
      </w:r>
      <w:r>
        <w:rPr>
          <w:rFonts w:asciiTheme="minorEastAsia" w:hAnsiTheme="minorEastAsia" w:eastAsiaTheme="minorEastAsia"/>
          <w:kern w:val="0"/>
          <w:sz w:val="32"/>
          <w:szCs w:val="32"/>
        </w:rPr>
        <w:t>27.96</w:t>
      </w:r>
      <w:r>
        <w:rPr>
          <w:rFonts w:hint="eastAsia" w:asciiTheme="minorEastAsia" w:hAnsiTheme="minorEastAsia" w:eastAsiaTheme="minorEastAsia"/>
          <w:kern w:val="0"/>
          <w:sz w:val="32"/>
          <w:szCs w:val="32"/>
        </w:rPr>
        <w:t>万元，比2023年预算增加1</w:t>
      </w:r>
      <w:r>
        <w:rPr>
          <w:rFonts w:asciiTheme="minorEastAsia" w:hAnsiTheme="minorEastAsia" w:eastAsiaTheme="minorEastAsia"/>
          <w:kern w:val="0"/>
          <w:sz w:val="32"/>
          <w:szCs w:val="32"/>
        </w:rPr>
        <w:t>.83</w:t>
      </w:r>
      <w:r>
        <w:rPr>
          <w:rFonts w:hint="eastAsia" w:asciiTheme="minorEastAsia" w:hAnsiTheme="minorEastAsia" w:eastAsiaTheme="minorEastAsia"/>
          <w:kern w:val="0"/>
          <w:sz w:val="32"/>
          <w:szCs w:val="32"/>
        </w:rPr>
        <w:t>万元，增长7%，增长原因主要是公积金缴费基数调整。</w:t>
      </w:r>
    </w:p>
    <w:p>
      <w:pPr>
        <w:topLinePunct/>
        <w:adjustRightInd w:val="0"/>
        <w:snapToGrid w:val="0"/>
        <w:spacing w:line="580" w:lineRule="exact"/>
        <w:ind w:firstLine="640" w:firstLineChars="200"/>
        <w:rPr>
          <w:rFonts w:ascii="仿宋_GB2312" w:hAnsi="TimesNewRoman" w:eastAsia="仿宋_GB2312" w:cs="TimesNewRoman"/>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六、关于2024年一般公共预算基本支出表的说明</w:t>
      </w:r>
    </w:p>
    <w:p>
      <w:pPr>
        <w:topLinePunct/>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寿县人大常委会办公室2024年一般公共预算基本支出</w:t>
      </w:r>
      <w:r>
        <w:rPr>
          <w:rFonts w:asciiTheme="minorEastAsia" w:hAnsiTheme="minorEastAsia" w:eastAsiaTheme="minorEastAsia"/>
          <w:kern w:val="0"/>
          <w:sz w:val="32"/>
          <w:szCs w:val="32"/>
        </w:rPr>
        <w:t>576.07</w:t>
      </w:r>
      <w:r>
        <w:rPr>
          <w:rFonts w:hint="eastAsia" w:asciiTheme="minorEastAsia" w:hAnsiTheme="minorEastAsia" w:eastAsiaTheme="minorEastAsia"/>
          <w:kern w:val="0"/>
          <w:sz w:val="32"/>
          <w:szCs w:val="32"/>
        </w:rPr>
        <w:t>万元，其中，人员经费</w:t>
      </w:r>
      <w:r>
        <w:rPr>
          <w:rFonts w:asciiTheme="minorEastAsia" w:hAnsiTheme="minorEastAsia" w:eastAsiaTheme="minorEastAsia"/>
          <w:kern w:val="0"/>
          <w:sz w:val="32"/>
          <w:szCs w:val="32"/>
        </w:rPr>
        <w:t>520.46</w:t>
      </w:r>
      <w:r>
        <w:rPr>
          <w:rFonts w:hint="eastAsia" w:asciiTheme="minorEastAsia" w:hAnsiTheme="minorEastAsia" w:eastAsiaTheme="minorEastAsia"/>
          <w:kern w:val="0"/>
          <w:sz w:val="32"/>
          <w:szCs w:val="32"/>
        </w:rPr>
        <w:t>万元，公用经费</w:t>
      </w:r>
      <w:r>
        <w:rPr>
          <w:rFonts w:asciiTheme="minorEastAsia" w:hAnsiTheme="minorEastAsia" w:eastAsiaTheme="minorEastAsia"/>
          <w:kern w:val="0"/>
          <w:sz w:val="32"/>
          <w:szCs w:val="32"/>
        </w:rPr>
        <w:t>55.61</w:t>
      </w:r>
      <w:r>
        <w:rPr>
          <w:rFonts w:hint="eastAsia" w:asciiTheme="minorEastAsia" w:hAnsiTheme="minorEastAsia" w:eastAsiaTheme="minorEastAsia"/>
          <w:kern w:val="0"/>
          <w:sz w:val="32"/>
          <w:szCs w:val="32"/>
        </w:rPr>
        <w:t>万元。</w:t>
      </w:r>
    </w:p>
    <w:p>
      <w:pPr>
        <w:topLinePunct/>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（一）人员经费</w:t>
      </w:r>
      <w:r>
        <w:rPr>
          <w:rFonts w:asciiTheme="minorEastAsia" w:hAnsiTheme="minorEastAsia" w:eastAsiaTheme="minorEastAsia"/>
          <w:kern w:val="0"/>
          <w:sz w:val="32"/>
          <w:szCs w:val="32"/>
        </w:rPr>
        <w:t>520.46</w:t>
      </w:r>
      <w:r>
        <w:rPr>
          <w:rFonts w:hint="eastAsia" w:asciiTheme="minorEastAsia" w:hAnsiTheme="minorEastAsia" w:eastAsiaTheme="minorEastAsia"/>
          <w:kern w:val="0"/>
          <w:sz w:val="32"/>
          <w:szCs w:val="32"/>
        </w:rPr>
        <w:t>万元，主要包括:基本工资、津贴补贴、奖金、机关事业单位基本养老保险费、职业年金缴费、职工基本医疗保险缴费、公务员医疗补助缴费、其他社会保障缴费、住房公积金、其他工资福利支出、离休费、退休费、生活补助、其他对个人和家庭补助。</w:t>
      </w:r>
    </w:p>
    <w:p>
      <w:pPr>
        <w:topLinePunct/>
        <w:spacing w:line="580" w:lineRule="exact"/>
        <w:ind w:firstLine="640" w:firstLineChars="2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（二）公用经费</w:t>
      </w:r>
      <w:r>
        <w:rPr>
          <w:rFonts w:asciiTheme="minorEastAsia" w:hAnsiTheme="minorEastAsia" w:eastAsiaTheme="minorEastAsia"/>
          <w:kern w:val="0"/>
          <w:sz w:val="32"/>
          <w:szCs w:val="32"/>
        </w:rPr>
        <w:t>55.61</w:t>
      </w:r>
      <w:r>
        <w:rPr>
          <w:rFonts w:hint="eastAsia" w:asciiTheme="minorEastAsia" w:hAnsiTheme="minorEastAsia" w:eastAsiaTheme="minorEastAsia"/>
          <w:kern w:val="0"/>
          <w:sz w:val="32"/>
          <w:szCs w:val="32"/>
        </w:rPr>
        <w:t>万元，主要包括：办公费、会议费、工会经费、其他交通费用、其他商品和服务支出、办公设备购置。</w:t>
      </w:r>
    </w:p>
    <w:p>
      <w:pPr>
        <w:topLinePunct/>
        <w:spacing w:line="580" w:lineRule="exact"/>
        <w:ind w:firstLine="640" w:firstLineChars="200"/>
        <w:rPr>
          <w:rFonts w:asciiTheme="minorEastAsia" w:hAnsiTheme="minorEastAsia" w:eastAsiaTheme="minorEastAsia"/>
          <w:kern w:val="0"/>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七、关于2024年政府性基金预算支出表的说明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寿县人大常委会办公室2024年没有政府性基金预算拨款收入，也没有使用政府性基金预算拨款安排的支出。</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八、关于2024年国有资本经营预算支出表的说明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寿县人大常委会办公室2024年没有国有资本经营预算拨款收入，也没有使用国有资本经营预算拨款安排的支出。</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九、关于2024年项目支出表的说明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寿县人大常委会办公室2024年预算共安排项目支出</w:t>
      </w:r>
      <w:r>
        <w:rPr>
          <w:rFonts w:asciiTheme="minorEastAsia" w:hAnsiTheme="minorEastAsia" w:eastAsiaTheme="minorEastAsia"/>
          <w:sz w:val="32"/>
          <w:szCs w:val="32"/>
        </w:rPr>
        <w:t>230.41</w:t>
      </w:r>
      <w:r>
        <w:rPr>
          <w:rFonts w:hint="eastAsia" w:asciiTheme="minorEastAsia" w:hAnsiTheme="minorEastAsia" w:eastAsiaTheme="minorEastAsia"/>
          <w:sz w:val="32"/>
          <w:szCs w:val="32"/>
        </w:rPr>
        <w:t>万元，比2023年预算增加0</w:t>
      </w:r>
      <w:r>
        <w:rPr>
          <w:rFonts w:asciiTheme="minorEastAsia" w:hAnsiTheme="minorEastAsia" w:eastAsiaTheme="minorEastAsia"/>
          <w:sz w:val="32"/>
          <w:szCs w:val="32"/>
        </w:rPr>
        <w:t>.41</w:t>
      </w:r>
      <w:r>
        <w:rPr>
          <w:rFonts w:hint="eastAsia" w:asciiTheme="minorEastAsia" w:hAnsiTheme="minorEastAsia" w:eastAsiaTheme="minorEastAsia"/>
          <w:sz w:val="32"/>
          <w:szCs w:val="32"/>
        </w:rPr>
        <w:t>万元，增加0</w:t>
      </w:r>
      <w:r>
        <w:rPr>
          <w:rFonts w:asciiTheme="minorEastAsia" w:hAnsiTheme="minorEastAsia" w:eastAsiaTheme="minorEastAsia"/>
          <w:sz w:val="32"/>
          <w:szCs w:val="32"/>
        </w:rPr>
        <w:t>.01</w:t>
      </w:r>
      <w:r>
        <w:rPr>
          <w:rFonts w:hint="eastAsia" w:asciiTheme="minorEastAsia" w:hAnsiTheme="minorEastAsia" w:eastAsiaTheme="minorEastAsia"/>
          <w:sz w:val="32"/>
          <w:szCs w:val="32"/>
        </w:rPr>
        <w:t>%，增加原因主要是人大代表人数调整。</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十、关于2024年政府采购支出表的说明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寿县人大常委会办公室2024年预算安排政府采购支出</w:t>
      </w:r>
      <w:r>
        <w:rPr>
          <w:rFonts w:asciiTheme="minorEastAsia" w:hAnsiTheme="minorEastAsia" w:eastAsiaTheme="minorEastAsia"/>
          <w:sz w:val="32"/>
          <w:szCs w:val="32"/>
        </w:rPr>
        <w:t>3.20</w:t>
      </w:r>
      <w:r>
        <w:rPr>
          <w:rFonts w:hint="eastAsia" w:asciiTheme="minorEastAsia" w:hAnsiTheme="minorEastAsia" w:eastAsiaTheme="minorEastAsia"/>
          <w:sz w:val="32"/>
          <w:szCs w:val="32"/>
        </w:rPr>
        <w:t>万元，比2023年预算增加</w:t>
      </w:r>
      <w:r>
        <w:rPr>
          <w:rFonts w:asciiTheme="minorEastAsia" w:hAnsiTheme="minorEastAsia" w:eastAsiaTheme="minorEastAsia"/>
          <w:sz w:val="32"/>
          <w:szCs w:val="32"/>
        </w:rPr>
        <w:t>1.26</w:t>
      </w:r>
      <w:r>
        <w:rPr>
          <w:rFonts w:hint="eastAsia" w:asciiTheme="minorEastAsia" w:hAnsiTheme="minorEastAsia" w:eastAsiaTheme="minorEastAsia"/>
          <w:sz w:val="32"/>
          <w:szCs w:val="32"/>
        </w:rPr>
        <w:t>万元，增长</w:t>
      </w:r>
      <w:r>
        <w:rPr>
          <w:rFonts w:asciiTheme="minorEastAsia" w:hAnsiTheme="minorEastAsia" w:eastAsiaTheme="minorEastAsia"/>
          <w:sz w:val="32"/>
          <w:szCs w:val="32"/>
        </w:rPr>
        <w:t>64.94</w:t>
      </w:r>
      <w:r>
        <w:rPr>
          <w:rFonts w:hint="eastAsia" w:asciiTheme="minorEastAsia" w:hAnsiTheme="minorEastAsia" w:eastAsiaTheme="minorEastAsia"/>
          <w:sz w:val="32"/>
          <w:szCs w:val="32"/>
        </w:rPr>
        <w:t>%，增长原因主要是人员变动以及老旧资产处置急需新增采购，办公硬件国产化后采购金额增加。其中，一般公共预算安排</w:t>
      </w:r>
      <w:r>
        <w:rPr>
          <w:rFonts w:asciiTheme="minorEastAsia" w:hAnsiTheme="minorEastAsia" w:eastAsiaTheme="minorEastAsia"/>
          <w:sz w:val="32"/>
          <w:szCs w:val="32"/>
        </w:rPr>
        <w:t>3.20</w:t>
      </w:r>
      <w:r>
        <w:rPr>
          <w:rFonts w:hint="eastAsia" w:asciiTheme="minorEastAsia" w:hAnsiTheme="minorEastAsia" w:eastAsiaTheme="minorEastAsia"/>
          <w:sz w:val="32"/>
          <w:szCs w:val="32"/>
        </w:rPr>
        <w:t>万元，占</w:t>
      </w:r>
      <w:r>
        <w:rPr>
          <w:rFonts w:asciiTheme="minorEastAsia" w:hAnsiTheme="minorEastAsia" w:eastAsiaTheme="minorEastAsia"/>
          <w:sz w:val="32"/>
          <w:szCs w:val="32"/>
        </w:rPr>
        <w:t>100</w:t>
      </w:r>
      <w:r>
        <w:rPr>
          <w:rFonts w:hint="eastAsia" w:asciiTheme="minorEastAsia" w:hAnsiTheme="minorEastAsia" w:eastAsiaTheme="minorEastAsia"/>
          <w:sz w:val="32"/>
          <w:szCs w:val="32"/>
        </w:rPr>
        <w:t>%。</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十一、关于2024年政府购买服务支出表的说明</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寿县人大常委会办公室2024年没有安排政府购买服务支出。</w:t>
      </w:r>
    </w:p>
    <w:p>
      <w:pPr>
        <w:pStyle w:val="4"/>
        <w:topLinePunct/>
        <w:adjustRightInd w:val="0"/>
        <w:snapToGrid w:val="0"/>
        <w:spacing w:beforeAutospacing="0" w:afterAutospacing="0" w:line="580" w:lineRule="exact"/>
        <w:ind w:firstLine="640" w:firstLineChars="200"/>
        <w:jc w:val="both"/>
        <w:rPr>
          <w:rFonts w:asciiTheme="minorEastAsia" w:hAnsiTheme="minorEastAsia" w:eastAsiaTheme="minorEastAsia"/>
          <w:sz w:val="32"/>
          <w:szCs w:val="32"/>
        </w:rPr>
      </w:pPr>
    </w:p>
    <w:p>
      <w:pPr>
        <w:pStyle w:val="4"/>
        <w:topLinePunct/>
        <w:adjustRightInd w:val="0"/>
        <w:snapToGrid w:val="0"/>
        <w:spacing w:beforeAutospacing="0" w:afterAutospacing="0" w:line="580" w:lineRule="exact"/>
        <w:ind w:firstLine="643" w:firstLineChars="200"/>
        <w:jc w:val="both"/>
        <w:rPr>
          <w:rFonts w:ascii="楷体_GB2312" w:hAnsi="TimesNewRoman" w:eastAsia="楷体_GB2312" w:cs="TimesNewRoman"/>
          <w:b/>
          <w:sz w:val="32"/>
          <w:szCs w:val="32"/>
        </w:rPr>
      </w:pPr>
      <w:r>
        <w:rPr>
          <w:rFonts w:hint="eastAsia" w:ascii="楷体_GB2312" w:hAnsi="TimesNewRoman" w:eastAsia="楷体_GB2312" w:cs="TimesNewRoman"/>
          <w:b/>
          <w:sz w:val="32"/>
          <w:szCs w:val="32"/>
        </w:rPr>
        <w:t>十二、其他重要事项情况说明</w:t>
      </w:r>
    </w:p>
    <w:p>
      <w:pPr>
        <w:topLinePunct/>
        <w:adjustRightInd w:val="0"/>
        <w:snapToGrid w:val="0"/>
        <w:spacing w:line="58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（一）项目及绩效目标情况。</w:t>
      </w:r>
    </w:p>
    <w:p>
      <w:pPr>
        <w:topLinePunct/>
        <w:adjustRightInd w:val="0"/>
        <w:snapToGrid w:val="0"/>
        <w:spacing w:line="58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1.“人大运转事务”项目。</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（1）项目概述</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保障人大常委会依法召开各项会议，保障和促进各项活动开展，保障人大机关日常运转。</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（2）立项依据</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根据监督法、县委转发人大工作要点（寿发[2023]3号）文件精神要求，对县人大办2024年各项运转支出予以保障。</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（3）实施主体</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（4）起止时间</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asciiTheme="minorEastAsia" w:hAnsiTheme="minorEastAsia" w:eastAsiaTheme="minorEastAsia"/>
          <w:sz w:val="32"/>
          <w:szCs w:val="32"/>
        </w:rPr>
        <w:t>024</w:t>
      </w:r>
      <w:r>
        <w:rPr>
          <w:rFonts w:hint="eastAsia" w:asciiTheme="minorEastAsia" w:hAnsiTheme="minorEastAsia" w:eastAsiaTheme="minorEastAsia"/>
          <w:sz w:val="32"/>
          <w:szCs w:val="32"/>
        </w:rPr>
        <w:t>年1月1日-</w:t>
      </w:r>
      <w:r>
        <w:rPr>
          <w:rFonts w:asciiTheme="minorEastAsia" w:hAnsiTheme="minorEastAsia" w:eastAsiaTheme="minorEastAsia"/>
          <w:sz w:val="32"/>
          <w:szCs w:val="32"/>
        </w:rPr>
        <w:t>2024</w:t>
      </w:r>
      <w:r>
        <w:rPr>
          <w:rFonts w:hint="eastAsia" w:asciiTheme="minorEastAsia" w:hAnsiTheme="minorEastAsia" w:eastAsiaTheme="minorEastAsia"/>
          <w:sz w:val="32"/>
          <w:szCs w:val="32"/>
        </w:rPr>
        <w:t>年1</w:t>
      </w:r>
      <w:r>
        <w:rPr>
          <w:rFonts w:asciiTheme="minorEastAsia" w:hAnsiTheme="minorEastAsia" w:eastAsiaTheme="minorEastAsia"/>
          <w:sz w:val="32"/>
          <w:szCs w:val="32"/>
        </w:rPr>
        <w:t>2</w:t>
      </w:r>
      <w:r>
        <w:rPr>
          <w:rFonts w:hint="eastAsia" w:asciiTheme="minorEastAsia" w:hAnsiTheme="minorEastAsia" w:eastAsiaTheme="minorEastAsia"/>
          <w:sz w:val="32"/>
          <w:szCs w:val="32"/>
        </w:rPr>
        <w:t>月3</w:t>
      </w:r>
      <w:r>
        <w:rPr>
          <w:rFonts w:asciiTheme="minorEastAsia" w:hAnsiTheme="minorEastAsia" w:eastAsiaTheme="minorEastAsia"/>
          <w:sz w:val="32"/>
          <w:szCs w:val="32"/>
        </w:rPr>
        <w:t>1</w:t>
      </w:r>
      <w:r>
        <w:rPr>
          <w:rFonts w:hint="eastAsia" w:asciiTheme="minorEastAsia" w:hAnsiTheme="minorEastAsia" w:eastAsiaTheme="minorEastAsia"/>
          <w:sz w:val="32"/>
          <w:szCs w:val="32"/>
        </w:rPr>
        <w:t>日。</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（5）项目内容</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保障人大机关日常运转开支。</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（6）年度预算安排</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141.85</w:t>
      </w:r>
      <w:r>
        <w:rPr>
          <w:rFonts w:hint="eastAsia" w:asciiTheme="minorEastAsia" w:hAnsiTheme="minorEastAsia" w:eastAsiaTheme="minorEastAsia"/>
          <w:sz w:val="32"/>
          <w:szCs w:val="32"/>
        </w:rPr>
        <w:t>万元。</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（7）绩效目标</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保障人大常委会依法召开各项会议、开展监督、视察、调研、培训等，保障人大机关日常运转。</w:t>
      </w:r>
    </w:p>
    <w:tbl>
      <w:tblPr>
        <w:tblStyle w:val="5"/>
        <w:tblW w:w="8845" w:type="dxa"/>
        <w:tblInd w:w="0" w:type="dxa"/>
        <w:tblLayout w:type="fixed"/>
        <w:tblCellMar>
          <w:top w:w="0" w:type="dxa"/>
          <w:left w:w="108" w:type="dxa"/>
          <w:bottom w:w="0" w:type="dxa"/>
          <w:right w:w="108" w:type="dxa"/>
        </w:tblCellMar>
      </w:tblPr>
      <w:tblGrid>
        <w:gridCol w:w="462"/>
        <w:gridCol w:w="479"/>
        <w:gridCol w:w="175"/>
        <w:gridCol w:w="959"/>
        <w:gridCol w:w="3156"/>
        <w:gridCol w:w="1205"/>
        <w:gridCol w:w="2409"/>
      </w:tblGrid>
      <w:tr>
        <w:tblPrEx>
          <w:tblLayout w:type="fixed"/>
          <w:tblCellMar>
            <w:top w:w="0" w:type="dxa"/>
            <w:left w:w="108" w:type="dxa"/>
            <w:bottom w:w="0" w:type="dxa"/>
            <w:right w:w="108" w:type="dxa"/>
          </w:tblCellMar>
        </w:tblPrEx>
        <w:trPr>
          <w:trHeight w:val="795" w:hRule="atLeast"/>
        </w:trPr>
        <w:tc>
          <w:tcPr>
            <w:tcW w:w="8845" w:type="dxa"/>
            <w:gridSpan w:val="7"/>
            <w:tcBorders>
              <w:top w:val="nil"/>
              <w:left w:val="nil"/>
              <w:bottom w:val="nil"/>
              <w:right w:val="nil"/>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项目支出绩效目标表</w:t>
            </w:r>
          </w:p>
        </w:tc>
      </w:tr>
      <w:tr>
        <w:tblPrEx>
          <w:tblLayout w:type="fixed"/>
          <w:tblCellMar>
            <w:top w:w="0" w:type="dxa"/>
            <w:left w:w="108" w:type="dxa"/>
            <w:bottom w:w="0" w:type="dxa"/>
            <w:right w:w="108" w:type="dxa"/>
          </w:tblCellMar>
        </w:tblPrEx>
        <w:trPr>
          <w:trHeight w:val="465" w:hRule="atLeast"/>
        </w:trPr>
        <w:tc>
          <w:tcPr>
            <w:tcW w:w="8845" w:type="dxa"/>
            <w:gridSpan w:val="7"/>
            <w:tcBorders>
              <w:top w:val="nil"/>
              <w:left w:val="nil"/>
              <w:bottom w:val="single" w:color="auto" w:sz="8" w:space="0"/>
              <w:right w:val="nil"/>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                                    （2024年度）                           单位：万元</w:t>
            </w:r>
          </w:p>
        </w:tc>
      </w:tr>
      <w:tr>
        <w:tblPrEx>
          <w:tblLayout w:type="fixed"/>
          <w:tblCellMar>
            <w:top w:w="0" w:type="dxa"/>
            <w:left w:w="108" w:type="dxa"/>
            <w:bottom w:w="0" w:type="dxa"/>
            <w:right w:w="108" w:type="dxa"/>
          </w:tblCellMar>
        </w:tblPrEx>
        <w:trPr>
          <w:trHeight w:val="510" w:hRule="atLeast"/>
        </w:trPr>
        <w:tc>
          <w:tcPr>
            <w:tcW w:w="1116" w:type="dxa"/>
            <w:gridSpan w:val="3"/>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项目名称</w:t>
            </w:r>
          </w:p>
        </w:tc>
        <w:tc>
          <w:tcPr>
            <w:tcW w:w="7729" w:type="dxa"/>
            <w:gridSpan w:val="4"/>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人大事务运转项目</w:t>
            </w:r>
          </w:p>
        </w:tc>
      </w:tr>
      <w:tr>
        <w:tblPrEx>
          <w:tblLayout w:type="fixed"/>
          <w:tblCellMar>
            <w:top w:w="0" w:type="dxa"/>
            <w:left w:w="108" w:type="dxa"/>
            <w:bottom w:w="0" w:type="dxa"/>
            <w:right w:w="108" w:type="dxa"/>
          </w:tblCellMar>
        </w:tblPrEx>
        <w:trPr>
          <w:trHeight w:val="660" w:hRule="atLeast"/>
        </w:trPr>
        <w:tc>
          <w:tcPr>
            <w:tcW w:w="1116" w:type="dxa"/>
            <w:gridSpan w:val="3"/>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主管部门   及代码</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102-寿县人民代表大会常务委员会办公室</w:t>
            </w:r>
          </w:p>
        </w:tc>
        <w:tc>
          <w:tcPr>
            <w:tcW w:w="120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实施单位</w:t>
            </w:r>
          </w:p>
        </w:tc>
        <w:tc>
          <w:tcPr>
            <w:tcW w:w="240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寿县人民代表大会常务委员会办公室</w:t>
            </w:r>
          </w:p>
        </w:tc>
      </w:tr>
      <w:tr>
        <w:tblPrEx>
          <w:tblLayout w:type="fixed"/>
          <w:tblCellMar>
            <w:top w:w="0" w:type="dxa"/>
            <w:left w:w="108" w:type="dxa"/>
            <w:bottom w:w="0" w:type="dxa"/>
            <w:right w:w="108" w:type="dxa"/>
          </w:tblCellMar>
        </w:tblPrEx>
        <w:trPr>
          <w:trHeight w:val="630" w:hRule="atLeast"/>
        </w:trPr>
        <w:tc>
          <w:tcPr>
            <w:tcW w:w="1116" w:type="dxa"/>
            <w:gridSpan w:val="3"/>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项目来源</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年初预算</w:t>
            </w:r>
          </w:p>
        </w:tc>
        <w:tc>
          <w:tcPr>
            <w:tcW w:w="120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项目期</w:t>
            </w:r>
          </w:p>
        </w:tc>
        <w:tc>
          <w:tcPr>
            <w:tcW w:w="240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常年</w:t>
            </w:r>
          </w:p>
        </w:tc>
      </w:tr>
      <w:tr>
        <w:tblPrEx>
          <w:tblLayout w:type="fixed"/>
          <w:tblCellMar>
            <w:top w:w="0" w:type="dxa"/>
            <w:left w:w="108" w:type="dxa"/>
            <w:bottom w:w="0" w:type="dxa"/>
            <w:right w:w="108" w:type="dxa"/>
          </w:tblCellMar>
        </w:tblPrEx>
        <w:trPr>
          <w:trHeight w:val="480" w:hRule="atLeast"/>
        </w:trPr>
        <w:tc>
          <w:tcPr>
            <w:tcW w:w="1116" w:type="dxa"/>
            <w:gridSpan w:val="3"/>
            <w:tcBorders>
              <w:top w:val="nil"/>
              <w:left w:val="single" w:color="auto" w:sz="8" w:space="0"/>
              <w:bottom w:val="nil"/>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项目资金</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年度资金总额：</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41.85</w:t>
            </w:r>
          </w:p>
        </w:tc>
      </w:tr>
      <w:tr>
        <w:tblPrEx>
          <w:tblLayout w:type="fixed"/>
          <w:tblCellMar>
            <w:top w:w="0" w:type="dxa"/>
            <w:left w:w="108" w:type="dxa"/>
            <w:bottom w:w="0" w:type="dxa"/>
            <w:right w:w="108" w:type="dxa"/>
          </w:tblCellMar>
        </w:tblPrEx>
        <w:trPr>
          <w:trHeight w:val="435" w:hRule="atLeast"/>
        </w:trPr>
        <w:tc>
          <w:tcPr>
            <w:tcW w:w="1116" w:type="dxa"/>
            <w:gridSpan w:val="3"/>
            <w:tcBorders>
              <w:top w:val="nil"/>
              <w:left w:val="single" w:color="auto" w:sz="8" w:space="0"/>
              <w:bottom w:val="nil"/>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（万元）</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其中：财政拨款</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r>
              <w:rPr>
                <w:rFonts w:ascii="宋体" w:hAnsi="宋体" w:cs="宋体"/>
                <w:color w:val="000000"/>
                <w:kern w:val="0"/>
                <w:sz w:val="20"/>
                <w:szCs w:val="20"/>
              </w:rPr>
              <w:t>41.85</w:t>
            </w:r>
          </w:p>
        </w:tc>
      </w:tr>
      <w:tr>
        <w:tblPrEx>
          <w:tblLayout w:type="fixed"/>
          <w:tblCellMar>
            <w:top w:w="0" w:type="dxa"/>
            <w:left w:w="108" w:type="dxa"/>
            <w:bottom w:w="0" w:type="dxa"/>
            <w:right w:w="108" w:type="dxa"/>
          </w:tblCellMar>
        </w:tblPrEx>
        <w:trPr>
          <w:trHeight w:val="450" w:hRule="atLeast"/>
        </w:trPr>
        <w:tc>
          <w:tcPr>
            <w:tcW w:w="1116" w:type="dxa"/>
            <w:gridSpan w:val="3"/>
            <w:tcBorders>
              <w:top w:val="nil"/>
              <w:left w:val="single" w:color="auto" w:sz="8" w:space="0"/>
              <w:bottom w:val="nil"/>
              <w:right w:val="single" w:color="000000" w:sz="8"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上年结转</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Layout w:type="fixed"/>
          <w:tblCellMar>
            <w:top w:w="0" w:type="dxa"/>
            <w:left w:w="108" w:type="dxa"/>
            <w:bottom w:w="0" w:type="dxa"/>
            <w:right w:w="108" w:type="dxa"/>
          </w:tblCellMar>
        </w:tblPrEx>
        <w:trPr>
          <w:trHeight w:val="420" w:hRule="atLeast"/>
        </w:trPr>
        <w:tc>
          <w:tcPr>
            <w:tcW w:w="1116" w:type="dxa"/>
            <w:gridSpan w:val="3"/>
            <w:tcBorders>
              <w:top w:val="nil"/>
              <w:left w:val="single" w:color="auto" w:sz="8" w:space="0"/>
              <w:bottom w:val="single" w:color="auto" w:sz="8" w:space="0"/>
              <w:right w:val="single" w:color="000000" w:sz="8"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其他资金</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　</w:t>
            </w:r>
          </w:p>
        </w:tc>
      </w:tr>
      <w:tr>
        <w:tblPrEx>
          <w:tblLayout w:type="fixed"/>
          <w:tblCellMar>
            <w:top w:w="0" w:type="dxa"/>
            <w:left w:w="108" w:type="dxa"/>
            <w:bottom w:w="0" w:type="dxa"/>
            <w:right w:w="108" w:type="dxa"/>
          </w:tblCellMar>
        </w:tblPrEx>
        <w:trPr>
          <w:trHeight w:val="405" w:hRule="atLeast"/>
        </w:trPr>
        <w:tc>
          <w:tcPr>
            <w:tcW w:w="462" w:type="dxa"/>
            <w:tcBorders>
              <w:top w:val="nil"/>
              <w:left w:val="single" w:color="auto" w:sz="8" w:space="0"/>
              <w:bottom w:val="nil"/>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年度</w:t>
            </w:r>
          </w:p>
        </w:tc>
        <w:tc>
          <w:tcPr>
            <w:tcW w:w="8383" w:type="dxa"/>
            <w:gridSpan w:val="6"/>
            <w:vMerge w:val="restart"/>
            <w:tcBorders>
              <w:top w:val="nil"/>
              <w:left w:val="single" w:color="auto" w:sz="8" w:space="0"/>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保障人大常委会依法召开各项会议、开展监督、视察、调研、培训等，保障人大机关日常运转</w:t>
            </w:r>
          </w:p>
        </w:tc>
      </w:tr>
      <w:tr>
        <w:tblPrEx>
          <w:tblLayout w:type="fixed"/>
          <w:tblCellMar>
            <w:top w:w="0" w:type="dxa"/>
            <w:left w:w="108" w:type="dxa"/>
            <w:bottom w:w="0" w:type="dxa"/>
            <w:right w:w="108" w:type="dxa"/>
          </w:tblCellMar>
        </w:tblPrEx>
        <w:trPr>
          <w:trHeight w:val="465" w:hRule="atLeast"/>
        </w:trPr>
        <w:tc>
          <w:tcPr>
            <w:tcW w:w="462"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目标</w:t>
            </w:r>
          </w:p>
        </w:tc>
        <w:tc>
          <w:tcPr>
            <w:tcW w:w="8383" w:type="dxa"/>
            <w:gridSpan w:val="6"/>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300" w:hRule="atLeast"/>
        </w:trPr>
        <w:tc>
          <w:tcPr>
            <w:tcW w:w="462"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绩效指标</w:t>
            </w:r>
          </w:p>
        </w:tc>
        <w:tc>
          <w:tcPr>
            <w:tcW w:w="479" w:type="dxa"/>
            <w:tcBorders>
              <w:top w:val="nil"/>
              <w:left w:val="nil"/>
              <w:bottom w:val="nil"/>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一级</w:t>
            </w:r>
          </w:p>
        </w:tc>
        <w:tc>
          <w:tcPr>
            <w:tcW w:w="1134" w:type="dxa"/>
            <w:gridSpan w:val="2"/>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二级指标</w:t>
            </w:r>
          </w:p>
        </w:tc>
        <w:tc>
          <w:tcPr>
            <w:tcW w:w="3156" w:type="dxa"/>
            <w:vMerge w:val="restar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三级指标</w:t>
            </w:r>
          </w:p>
        </w:tc>
        <w:tc>
          <w:tcPr>
            <w:tcW w:w="3614" w:type="dxa"/>
            <w:gridSpan w:val="2"/>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指标值</w:t>
            </w:r>
          </w:p>
        </w:tc>
      </w:tr>
      <w:tr>
        <w:tblPrEx>
          <w:tblLayout w:type="fixed"/>
          <w:tblCellMar>
            <w:top w:w="0" w:type="dxa"/>
            <w:left w:w="108" w:type="dxa"/>
            <w:bottom w:w="0" w:type="dxa"/>
            <w:right w:w="108" w:type="dxa"/>
          </w:tblCellMar>
        </w:tblPrEx>
        <w:trPr>
          <w:trHeight w:val="28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指标</w:t>
            </w:r>
          </w:p>
        </w:tc>
        <w:tc>
          <w:tcPr>
            <w:tcW w:w="1134" w:type="dxa"/>
            <w:gridSpan w:val="2"/>
            <w:vMerge w:val="continue"/>
            <w:tcBorders>
              <w:top w:val="nil"/>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3156"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3614"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54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restar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产出指标</w:t>
            </w:r>
          </w:p>
        </w:tc>
        <w:tc>
          <w:tcPr>
            <w:tcW w:w="1134" w:type="dxa"/>
            <w:gridSpan w:val="2"/>
            <w:vMerge w:val="restart"/>
            <w:tcBorders>
              <w:top w:val="single" w:color="auto" w:sz="8" w:space="0"/>
              <w:left w:val="single" w:color="auto"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数量指标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指标1：常委会会议召开次数</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≥6次</w:t>
            </w:r>
          </w:p>
        </w:tc>
      </w:tr>
      <w:tr>
        <w:tblPrEx>
          <w:tblLayout w:type="fixed"/>
          <w:tblCellMar>
            <w:top w:w="0" w:type="dxa"/>
            <w:left w:w="108" w:type="dxa"/>
            <w:bottom w:w="0" w:type="dxa"/>
            <w:right w:w="108" w:type="dxa"/>
          </w:tblCellMar>
        </w:tblPrEx>
        <w:trPr>
          <w:trHeight w:val="54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vMerge w:val="continue"/>
            <w:tcBorders>
              <w:top w:val="single" w:color="auto" w:sz="8" w:space="0"/>
              <w:left w:val="single" w:color="auto" w:sz="8" w:space="0"/>
              <w:bottom w:val="single" w:color="000000" w:sz="8" w:space="0"/>
              <w:right w:val="single" w:color="000000" w:sz="8" w:space="0"/>
            </w:tcBorders>
            <w:vAlign w:val="center"/>
          </w:tcPr>
          <w:p>
            <w:pPr>
              <w:widowControl/>
              <w:jc w:val="left"/>
              <w:rPr>
                <w:rFonts w:ascii="宋体" w:hAnsi="宋体" w:cs="宋体"/>
                <w:color w:val="000000"/>
                <w:kern w:val="0"/>
                <w:sz w:val="20"/>
                <w:szCs w:val="20"/>
              </w:rPr>
            </w:pP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指标2：人代会召开次数</w:t>
            </w:r>
          </w:p>
        </w:tc>
        <w:tc>
          <w:tcPr>
            <w:tcW w:w="3614"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≥1次</w:t>
            </w:r>
          </w:p>
        </w:tc>
      </w:tr>
      <w:tr>
        <w:tblPrEx>
          <w:tblLayout w:type="fixed"/>
          <w:tblCellMar>
            <w:top w:w="0" w:type="dxa"/>
            <w:left w:w="108" w:type="dxa"/>
            <w:bottom w:w="0" w:type="dxa"/>
            <w:right w:w="108" w:type="dxa"/>
          </w:tblCellMar>
        </w:tblPrEx>
        <w:trPr>
          <w:trHeight w:val="54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vMerge w:val="continue"/>
            <w:tcBorders>
              <w:top w:val="single" w:color="auto" w:sz="8" w:space="0"/>
              <w:left w:val="single" w:color="auto" w:sz="8" w:space="0"/>
              <w:bottom w:val="single" w:color="000000" w:sz="8" w:space="0"/>
              <w:right w:val="single" w:color="000000" w:sz="8" w:space="0"/>
            </w:tcBorders>
            <w:vAlign w:val="center"/>
          </w:tcPr>
          <w:p>
            <w:pPr>
              <w:widowControl/>
              <w:jc w:val="left"/>
              <w:rPr>
                <w:rFonts w:ascii="宋体" w:hAnsi="宋体" w:cs="宋体"/>
                <w:color w:val="000000"/>
                <w:kern w:val="0"/>
                <w:sz w:val="20"/>
                <w:szCs w:val="20"/>
              </w:rPr>
            </w:pP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指标3：人大工作者能力提升培训次数</w:t>
            </w:r>
          </w:p>
        </w:tc>
        <w:tc>
          <w:tcPr>
            <w:tcW w:w="3614"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≥3次</w:t>
            </w:r>
          </w:p>
        </w:tc>
      </w:tr>
      <w:tr>
        <w:tblPrEx>
          <w:tblLayout w:type="fixed"/>
          <w:tblCellMar>
            <w:top w:w="0" w:type="dxa"/>
            <w:left w:w="108" w:type="dxa"/>
            <w:bottom w:w="0" w:type="dxa"/>
            <w:right w:w="108" w:type="dxa"/>
          </w:tblCellMar>
        </w:tblPrEx>
        <w:trPr>
          <w:trHeight w:val="60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质量指标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指标1：人大监督、视察工作开展合规性</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依法履行政策文件要求</w:t>
            </w:r>
          </w:p>
        </w:tc>
      </w:tr>
      <w:tr>
        <w:tblPrEx>
          <w:tblLayout w:type="fixed"/>
          <w:tblCellMar>
            <w:top w:w="0" w:type="dxa"/>
            <w:left w:w="108" w:type="dxa"/>
            <w:bottom w:w="0" w:type="dxa"/>
            <w:right w:w="108" w:type="dxa"/>
          </w:tblCellMar>
        </w:tblPrEx>
        <w:trPr>
          <w:trHeight w:val="66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时效指标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指标1：监督、视察工作的及时性</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严格执行，序时完成</w:t>
            </w:r>
          </w:p>
        </w:tc>
      </w:tr>
      <w:tr>
        <w:tblPrEx>
          <w:tblLayout w:type="fixed"/>
          <w:tblCellMar>
            <w:top w:w="0" w:type="dxa"/>
            <w:left w:w="108" w:type="dxa"/>
            <w:bottom w:w="0" w:type="dxa"/>
            <w:right w:w="108" w:type="dxa"/>
          </w:tblCellMar>
        </w:tblPrEx>
        <w:trPr>
          <w:trHeight w:val="61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成本指标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指标1：人大运转工作总成本</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r>
              <w:rPr>
                <w:rFonts w:ascii="宋体" w:hAnsi="宋体" w:cs="宋体"/>
                <w:color w:val="000000"/>
                <w:kern w:val="0"/>
                <w:sz w:val="20"/>
                <w:szCs w:val="20"/>
              </w:rPr>
              <w:t>141.85</w:t>
            </w:r>
            <w:r>
              <w:rPr>
                <w:rFonts w:hint="eastAsia" w:ascii="宋体" w:hAnsi="宋体" w:cs="宋体"/>
                <w:color w:val="000000"/>
                <w:kern w:val="0"/>
                <w:sz w:val="20"/>
                <w:szCs w:val="20"/>
              </w:rPr>
              <w:t>万元</w:t>
            </w:r>
          </w:p>
        </w:tc>
      </w:tr>
      <w:tr>
        <w:tblPrEx>
          <w:tblLayout w:type="fixed"/>
          <w:tblCellMar>
            <w:top w:w="0" w:type="dxa"/>
            <w:left w:w="108" w:type="dxa"/>
            <w:bottom w:w="0" w:type="dxa"/>
            <w:right w:w="108" w:type="dxa"/>
          </w:tblCellMar>
        </w:tblPrEx>
        <w:trPr>
          <w:trHeight w:val="81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restar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效益指标</w:t>
            </w: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经济效益指标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指标1：通过依法监督，促进“一府一委两院”依法行政、公正司法，对经济转型和发展的促进程度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影响程度较大</w:t>
            </w:r>
          </w:p>
        </w:tc>
      </w:tr>
      <w:tr>
        <w:tblPrEx>
          <w:tblLayout w:type="fixed"/>
          <w:tblCellMar>
            <w:top w:w="0" w:type="dxa"/>
            <w:left w:w="108" w:type="dxa"/>
            <w:bottom w:w="0" w:type="dxa"/>
            <w:right w:w="108" w:type="dxa"/>
          </w:tblCellMar>
        </w:tblPrEx>
        <w:trPr>
          <w:trHeight w:val="79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社会效益指标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指标1：通过人大职能化解社会矛盾，对社会和谐稳定的影响程度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对社会稳定性影响较大</w:t>
            </w:r>
          </w:p>
        </w:tc>
      </w:tr>
      <w:tr>
        <w:tblPrEx>
          <w:tblLayout w:type="fixed"/>
          <w:tblCellMar>
            <w:top w:w="0" w:type="dxa"/>
            <w:left w:w="108" w:type="dxa"/>
            <w:bottom w:w="0" w:type="dxa"/>
            <w:right w:w="108" w:type="dxa"/>
          </w:tblCellMar>
        </w:tblPrEx>
        <w:trPr>
          <w:trHeight w:val="70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生态效益指标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指标1：生态效益指标不适用</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不适用</w:t>
            </w:r>
          </w:p>
        </w:tc>
      </w:tr>
      <w:tr>
        <w:tblPrEx>
          <w:tblLayout w:type="fixed"/>
          <w:tblCellMar>
            <w:top w:w="0" w:type="dxa"/>
            <w:left w:w="108" w:type="dxa"/>
            <w:bottom w:w="0" w:type="dxa"/>
            <w:right w:w="108" w:type="dxa"/>
          </w:tblCellMar>
        </w:tblPrEx>
        <w:trPr>
          <w:trHeight w:val="85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可持续影响指标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指标1：坚持和完善人民代表大会制度，推动基层民主法治建设程度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不断提升</w:t>
            </w:r>
          </w:p>
        </w:tc>
      </w:tr>
      <w:tr>
        <w:tblPrEx>
          <w:tblLayout w:type="fixed"/>
          <w:tblCellMar>
            <w:top w:w="0" w:type="dxa"/>
            <w:left w:w="108" w:type="dxa"/>
            <w:bottom w:w="0" w:type="dxa"/>
            <w:right w:w="108" w:type="dxa"/>
          </w:tblCellMar>
        </w:tblPrEx>
        <w:trPr>
          <w:trHeight w:val="81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满意度指标</w:t>
            </w: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满意度指标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指标1：人民群众满意度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≥95%</w:t>
            </w:r>
          </w:p>
        </w:tc>
      </w:tr>
    </w:tbl>
    <w:p>
      <w:pPr>
        <w:topLinePunct/>
        <w:adjustRightInd w:val="0"/>
        <w:snapToGrid w:val="0"/>
        <w:spacing w:line="580" w:lineRule="exact"/>
        <w:ind w:firstLine="640" w:firstLineChars="200"/>
        <w:rPr>
          <w:rFonts w:ascii="仿宋_GB2312" w:hAnsi="TimesNewRoman" w:eastAsia="仿宋_GB2312" w:cs="TimesNewRoman"/>
          <w:sz w:val="32"/>
          <w:szCs w:val="32"/>
        </w:rPr>
      </w:pPr>
    </w:p>
    <w:p>
      <w:pPr>
        <w:topLinePunct/>
        <w:adjustRightInd w:val="0"/>
        <w:snapToGrid w:val="0"/>
        <w:spacing w:line="56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2.“人大代表履职补贴”项目。</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（1）项目概述。保障人大常委会依法召开各项会议，保障和促进各项活动开展，保障人大机关日常运转</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（2）立项依据</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根据监督法、县委转发人大工作要点（寿发[2023]3号）文件精神要求，对县人大办2024年各项运转支出予以保障。</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（3）实施主体</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（4）起止时间</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w:t>
      </w:r>
      <w:r>
        <w:rPr>
          <w:rFonts w:asciiTheme="minorEastAsia" w:hAnsiTheme="minorEastAsia" w:eastAsiaTheme="minorEastAsia"/>
          <w:sz w:val="32"/>
          <w:szCs w:val="32"/>
        </w:rPr>
        <w:t>024</w:t>
      </w:r>
      <w:r>
        <w:rPr>
          <w:rFonts w:hint="eastAsia" w:asciiTheme="minorEastAsia" w:hAnsiTheme="minorEastAsia" w:eastAsiaTheme="minorEastAsia"/>
          <w:sz w:val="32"/>
          <w:szCs w:val="32"/>
        </w:rPr>
        <w:t>年1月1日-</w:t>
      </w:r>
      <w:r>
        <w:rPr>
          <w:rFonts w:asciiTheme="minorEastAsia" w:hAnsiTheme="minorEastAsia" w:eastAsiaTheme="minorEastAsia"/>
          <w:sz w:val="32"/>
          <w:szCs w:val="32"/>
        </w:rPr>
        <w:t>2024</w:t>
      </w:r>
      <w:r>
        <w:rPr>
          <w:rFonts w:hint="eastAsia" w:asciiTheme="minorEastAsia" w:hAnsiTheme="minorEastAsia" w:eastAsiaTheme="minorEastAsia"/>
          <w:sz w:val="32"/>
          <w:szCs w:val="32"/>
        </w:rPr>
        <w:t>年</w:t>
      </w:r>
      <w:r>
        <w:rPr>
          <w:rFonts w:asciiTheme="minorEastAsia" w:hAnsiTheme="minorEastAsia" w:eastAsiaTheme="minorEastAsia"/>
          <w:sz w:val="32"/>
          <w:szCs w:val="32"/>
        </w:rPr>
        <w:t>12</w:t>
      </w:r>
      <w:r>
        <w:rPr>
          <w:rFonts w:hint="eastAsia" w:asciiTheme="minorEastAsia" w:hAnsiTheme="minorEastAsia" w:eastAsiaTheme="minorEastAsia"/>
          <w:sz w:val="32"/>
          <w:szCs w:val="32"/>
        </w:rPr>
        <w:t>月3</w:t>
      </w:r>
      <w:r>
        <w:rPr>
          <w:rFonts w:asciiTheme="minorEastAsia" w:hAnsiTheme="minorEastAsia" w:eastAsiaTheme="minorEastAsia"/>
          <w:sz w:val="32"/>
          <w:szCs w:val="32"/>
        </w:rPr>
        <w:t>1</w:t>
      </w:r>
      <w:r>
        <w:rPr>
          <w:rFonts w:hint="eastAsia" w:asciiTheme="minorEastAsia" w:hAnsiTheme="minorEastAsia" w:eastAsiaTheme="minorEastAsia"/>
          <w:sz w:val="32"/>
          <w:szCs w:val="32"/>
        </w:rPr>
        <w:t>日。</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（5）项目内容</w:t>
      </w:r>
    </w:p>
    <w:p>
      <w:pPr>
        <w:topLinePunct/>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发放人大代表履职补助。</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（6）年度预算安排</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asciiTheme="minorEastAsia" w:hAnsiTheme="minorEastAsia" w:eastAsiaTheme="minorEastAsia"/>
          <w:sz w:val="32"/>
          <w:szCs w:val="32"/>
        </w:rPr>
        <w:t>88.56</w:t>
      </w:r>
      <w:r>
        <w:rPr>
          <w:rFonts w:hint="eastAsia" w:asciiTheme="minorEastAsia" w:hAnsiTheme="minorEastAsia" w:eastAsiaTheme="minorEastAsia"/>
          <w:sz w:val="32"/>
          <w:szCs w:val="32"/>
        </w:rPr>
        <w:t>万元。</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（7）绩效目标</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据宪法及代表法等法律法规要求，用于人大代表调研、视察、交通等履职工作补贴，保障代表依法履职，保持与人民群众紧密联系，保证群众呼声能够及时上传，提升人大代表的履职能力。</w:t>
      </w:r>
    </w:p>
    <w:tbl>
      <w:tblPr>
        <w:tblStyle w:val="5"/>
        <w:tblW w:w="8845" w:type="dxa"/>
        <w:tblInd w:w="0" w:type="dxa"/>
        <w:tblLayout w:type="fixed"/>
        <w:tblCellMar>
          <w:top w:w="0" w:type="dxa"/>
          <w:left w:w="108" w:type="dxa"/>
          <w:bottom w:w="0" w:type="dxa"/>
          <w:right w:w="108" w:type="dxa"/>
        </w:tblCellMar>
      </w:tblPr>
      <w:tblGrid>
        <w:gridCol w:w="462"/>
        <w:gridCol w:w="479"/>
        <w:gridCol w:w="175"/>
        <w:gridCol w:w="959"/>
        <w:gridCol w:w="3156"/>
        <w:gridCol w:w="1205"/>
        <w:gridCol w:w="2409"/>
      </w:tblGrid>
      <w:tr>
        <w:tblPrEx>
          <w:tblLayout w:type="fixed"/>
          <w:tblCellMar>
            <w:top w:w="0" w:type="dxa"/>
            <w:left w:w="108" w:type="dxa"/>
            <w:bottom w:w="0" w:type="dxa"/>
            <w:right w:w="108" w:type="dxa"/>
          </w:tblCellMar>
        </w:tblPrEx>
        <w:trPr>
          <w:trHeight w:val="945" w:hRule="atLeast"/>
        </w:trPr>
        <w:tc>
          <w:tcPr>
            <w:tcW w:w="8845" w:type="dxa"/>
            <w:gridSpan w:val="7"/>
            <w:tcBorders>
              <w:top w:val="nil"/>
              <w:left w:val="nil"/>
              <w:bottom w:val="nil"/>
              <w:right w:val="nil"/>
            </w:tcBorders>
            <w:shd w:val="clear" w:color="auto" w:fill="auto"/>
            <w:vAlign w:val="center"/>
          </w:tcPr>
          <w:p>
            <w:pPr>
              <w:widowControl/>
              <w:jc w:val="center"/>
              <w:rPr>
                <w:rFonts w:ascii="宋体" w:hAnsi="宋体" w:cs="宋体"/>
                <w:b/>
                <w:bCs/>
                <w:color w:val="000000"/>
                <w:kern w:val="0"/>
                <w:sz w:val="28"/>
                <w:szCs w:val="28"/>
              </w:rPr>
            </w:pPr>
            <w:r>
              <w:rPr>
                <w:rFonts w:hint="eastAsia" w:ascii="宋体" w:hAnsi="宋体" w:cs="宋体"/>
                <w:b/>
                <w:bCs/>
                <w:color w:val="000000"/>
                <w:kern w:val="0"/>
                <w:sz w:val="28"/>
                <w:szCs w:val="28"/>
              </w:rPr>
              <w:t>项目支出绩效目标表</w:t>
            </w:r>
          </w:p>
        </w:tc>
      </w:tr>
      <w:tr>
        <w:tblPrEx>
          <w:tblLayout w:type="fixed"/>
          <w:tblCellMar>
            <w:top w:w="0" w:type="dxa"/>
            <w:left w:w="108" w:type="dxa"/>
            <w:bottom w:w="0" w:type="dxa"/>
            <w:right w:w="108" w:type="dxa"/>
          </w:tblCellMar>
        </w:tblPrEx>
        <w:trPr>
          <w:trHeight w:val="465" w:hRule="atLeast"/>
        </w:trPr>
        <w:tc>
          <w:tcPr>
            <w:tcW w:w="8845" w:type="dxa"/>
            <w:gridSpan w:val="7"/>
            <w:tcBorders>
              <w:top w:val="nil"/>
              <w:left w:val="nil"/>
              <w:bottom w:val="single" w:color="auto" w:sz="8" w:space="0"/>
              <w:right w:val="nil"/>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                                     （2024年度）                   </w:t>
            </w:r>
            <w:r>
              <w:rPr>
                <w:rFonts w:ascii="宋体" w:hAnsi="宋体" w:cs="宋体"/>
                <w:color w:val="000000"/>
                <w:kern w:val="0"/>
                <w:sz w:val="20"/>
                <w:szCs w:val="20"/>
              </w:rPr>
              <w:t xml:space="preserve">   </w:t>
            </w:r>
            <w:r>
              <w:rPr>
                <w:rFonts w:hint="eastAsia" w:ascii="宋体" w:hAnsi="宋体" w:cs="宋体"/>
                <w:color w:val="000000"/>
                <w:kern w:val="0"/>
                <w:sz w:val="20"/>
                <w:szCs w:val="20"/>
              </w:rPr>
              <w:t xml:space="preserve">    单位：万元</w:t>
            </w:r>
          </w:p>
        </w:tc>
      </w:tr>
      <w:tr>
        <w:tblPrEx>
          <w:tblLayout w:type="fixed"/>
          <w:tblCellMar>
            <w:top w:w="0" w:type="dxa"/>
            <w:left w:w="108" w:type="dxa"/>
            <w:bottom w:w="0" w:type="dxa"/>
            <w:right w:w="108" w:type="dxa"/>
          </w:tblCellMar>
        </w:tblPrEx>
        <w:trPr>
          <w:trHeight w:val="510" w:hRule="atLeast"/>
        </w:trPr>
        <w:tc>
          <w:tcPr>
            <w:tcW w:w="1116" w:type="dxa"/>
            <w:gridSpan w:val="3"/>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项目名称</w:t>
            </w:r>
          </w:p>
        </w:tc>
        <w:tc>
          <w:tcPr>
            <w:tcW w:w="7729" w:type="dxa"/>
            <w:gridSpan w:val="4"/>
            <w:tcBorders>
              <w:top w:val="single" w:color="auto" w:sz="8" w:space="0"/>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人大代表履职补贴项目</w:t>
            </w:r>
          </w:p>
        </w:tc>
      </w:tr>
      <w:tr>
        <w:tblPrEx>
          <w:tblLayout w:type="fixed"/>
          <w:tblCellMar>
            <w:top w:w="0" w:type="dxa"/>
            <w:left w:w="108" w:type="dxa"/>
            <w:bottom w:w="0" w:type="dxa"/>
            <w:right w:w="108" w:type="dxa"/>
          </w:tblCellMar>
        </w:tblPrEx>
        <w:trPr>
          <w:trHeight w:val="660" w:hRule="atLeast"/>
        </w:trPr>
        <w:tc>
          <w:tcPr>
            <w:tcW w:w="1116" w:type="dxa"/>
            <w:gridSpan w:val="3"/>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主管部门   及代码</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102-寿县人民代表大会常务委员会办公室</w:t>
            </w:r>
          </w:p>
        </w:tc>
        <w:tc>
          <w:tcPr>
            <w:tcW w:w="120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实施单位</w:t>
            </w:r>
          </w:p>
        </w:tc>
        <w:tc>
          <w:tcPr>
            <w:tcW w:w="240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寿县人民代表大会常务委员会办公室</w:t>
            </w:r>
          </w:p>
        </w:tc>
      </w:tr>
      <w:tr>
        <w:tblPrEx>
          <w:tblLayout w:type="fixed"/>
          <w:tblCellMar>
            <w:top w:w="0" w:type="dxa"/>
            <w:left w:w="108" w:type="dxa"/>
            <w:bottom w:w="0" w:type="dxa"/>
            <w:right w:w="108" w:type="dxa"/>
          </w:tblCellMar>
        </w:tblPrEx>
        <w:trPr>
          <w:trHeight w:val="630" w:hRule="atLeast"/>
        </w:trPr>
        <w:tc>
          <w:tcPr>
            <w:tcW w:w="1116" w:type="dxa"/>
            <w:gridSpan w:val="3"/>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项目来源</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年初预算</w:t>
            </w:r>
          </w:p>
        </w:tc>
        <w:tc>
          <w:tcPr>
            <w:tcW w:w="1205"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项目期</w:t>
            </w:r>
          </w:p>
        </w:tc>
        <w:tc>
          <w:tcPr>
            <w:tcW w:w="240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常年</w:t>
            </w:r>
          </w:p>
        </w:tc>
      </w:tr>
      <w:tr>
        <w:tblPrEx>
          <w:tblLayout w:type="fixed"/>
          <w:tblCellMar>
            <w:top w:w="0" w:type="dxa"/>
            <w:left w:w="108" w:type="dxa"/>
            <w:bottom w:w="0" w:type="dxa"/>
            <w:right w:w="108" w:type="dxa"/>
          </w:tblCellMar>
        </w:tblPrEx>
        <w:trPr>
          <w:trHeight w:val="480" w:hRule="atLeast"/>
        </w:trPr>
        <w:tc>
          <w:tcPr>
            <w:tcW w:w="1116" w:type="dxa"/>
            <w:gridSpan w:val="3"/>
            <w:tcBorders>
              <w:top w:val="nil"/>
              <w:left w:val="single" w:color="auto" w:sz="8" w:space="0"/>
              <w:bottom w:val="nil"/>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项目资金</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年度资金总额：</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88.56</w:t>
            </w:r>
          </w:p>
        </w:tc>
      </w:tr>
      <w:tr>
        <w:tblPrEx>
          <w:tblLayout w:type="fixed"/>
          <w:tblCellMar>
            <w:top w:w="0" w:type="dxa"/>
            <w:left w:w="108" w:type="dxa"/>
            <w:bottom w:w="0" w:type="dxa"/>
            <w:right w:w="108" w:type="dxa"/>
          </w:tblCellMar>
        </w:tblPrEx>
        <w:trPr>
          <w:trHeight w:val="435" w:hRule="atLeast"/>
        </w:trPr>
        <w:tc>
          <w:tcPr>
            <w:tcW w:w="1116" w:type="dxa"/>
            <w:gridSpan w:val="3"/>
            <w:tcBorders>
              <w:top w:val="nil"/>
              <w:left w:val="single" w:color="auto" w:sz="8" w:space="0"/>
              <w:bottom w:val="nil"/>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（万元）</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其中：财政拨款</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88.56</w:t>
            </w:r>
          </w:p>
        </w:tc>
      </w:tr>
      <w:tr>
        <w:tblPrEx>
          <w:tblLayout w:type="fixed"/>
          <w:tblCellMar>
            <w:top w:w="0" w:type="dxa"/>
            <w:left w:w="108" w:type="dxa"/>
            <w:bottom w:w="0" w:type="dxa"/>
            <w:right w:w="108" w:type="dxa"/>
          </w:tblCellMar>
        </w:tblPrEx>
        <w:trPr>
          <w:trHeight w:val="450" w:hRule="atLeast"/>
        </w:trPr>
        <w:tc>
          <w:tcPr>
            <w:tcW w:w="1116" w:type="dxa"/>
            <w:gridSpan w:val="3"/>
            <w:tcBorders>
              <w:top w:val="nil"/>
              <w:left w:val="single" w:color="auto" w:sz="8" w:space="0"/>
              <w:bottom w:val="nil"/>
              <w:right w:val="single" w:color="000000" w:sz="8"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上年结转</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Layout w:type="fixed"/>
          <w:tblCellMar>
            <w:top w:w="0" w:type="dxa"/>
            <w:left w:w="108" w:type="dxa"/>
            <w:bottom w:w="0" w:type="dxa"/>
            <w:right w:w="108" w:type="dxa"/>
          </w:tblCellMar>
        </w:tblPrEx>
        <w:trPr>
          <w:trHeight w:val="420" w:hRule="atLeast"/>
        </w:trPr>
        <w:tc>
          <w:tcPr>
            <w:tcW w:w="1116" w:type="dxa"/>
            <w:gridSpan w:val="3"/>
            <w:tcBorders>
              <w:top w:val="nil"/>
              <w:left w:val="single" w:color="auto" w:sz="8" w:space="0"/>
              <w:bottom w:val="single" w:color="auto" w:sz="8" w:space="0"/>
              <w:right w:val="single" w:color="000000" w:sz="8" w:space="0"/>
            </w:tcBorders>
            <w:shd w:val="clear" w:color="auto" w:fill="auto"/>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4115" w:type="dxa"/>
            <w:gridSpan w:val="2"/>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其他资金</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right"/>
              <w:rPr>
                <w:rFonts w:ascii="宋体" w:hAnsi="宋体" w:cs="宋体"/>
                <w:color w:val="000000"/>
                <w:kern w:val="0"/>
                <w:sz w:val="20"/>
                <w:szCs w:val="20"/>
              </w:rPr>
            </w:pPr>
            <w:r>
              <w:rPr>
                <w:rFonts w:hint="eastAsia" w:ascii="宋体" w:hAnsi="宋体" w:cs="宋体"/>
                <w:color w:val="000000"/>
                <w:kern w:val="0"/>
                <w:sz w:val="20"/>
                <w:szCs w:val="20"/>
              </w:rPr>
              <w:t>　</w:t>
            </w:r>
          </w:p>
        </w:tc>
      </w:tr>
      <w:tr>
        <w:tblPrEx>
          <w:tblLayout w:type="fixed"/>
          <w:tblCellMar>
            <w:top w:w="0" w:type="dxa"/>
            <w:left w:w="108" w:type="dxa"/>
            <w:bottom w:w="0" w:type="dxa"/>
            <w:right w:w="108" w:type="dxa"/>
          </w:tblCellMar>
        </w:tblPrEx>
        <w:trPr>
          <w:trHeight w:val="405" w:hRule="atLeast"/>
        </w:trPr>
        <w:tc>
          <w:tcPr>
            <w:tcW w:w="462" w:type="dxa"/>
            <w:tcBorders>
              <w:top w:val="nil"/>
              <w:left w:val="single" w:color="auto" w:sz="8" w:space="0"/>
              <w:bottom w:val="nil"/>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年度</w:t>
            </w:r>
          </w:p>
        </w:tc>
        <w:tc>
          <w:tcPr>
            <w:tcW w:w="8383" w:type="dxa"/>
            <w:gridSpan w:val="6"/>
            <w:vMerge w:val="restart"/>
            <w:tcBorders>
              <w:top w:val="nil"/>
              <w:left w:val="single" w:color="auto" w:sz="8" w:space="0"/>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根据宪法及代表法等法律法规要求，用于人大代表调研、视察、交通等履职工作补贴，保障代表依法履职，保持与人民群众紧密联系，保证群众呼声能够及时上传，提升人大代表的履职能力。</w:t>
            </w:r>
          </w:p>
        </w:tc>
      </w:tr>
      <w:tr>
        <w:tblPrEx>
          <w:tblLayout w:type="fixed"/>
          <w:tblCellMar>
            <w:top w:w="0" w:type="dxa"/>
            <w:left w:w="108" w:type="dxa"/>
            <w:bottom w:w="0" w:type="dxa"/>
            <w:right w:w="108" w:type="dxa"/>
          </w:tblCellMar>
        </w:tblPrEx>
        <w:trPr>
          <w:trHeight w:val="465" w:hRule="atLeast"/>
        </w:trPr>
        <w:tc>
          <w:tcPr>
            <w:tcW w:w="462"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目标</w:t>
            </w:r>
          </w:p>
        </w:tc>
        <w:tc>
          <w:tcPr>
            <w:tcW w:w="8383" w:type="dxa"/>
            <w:gridSpan w:val="6"/>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300" w:hRule="atLeast"/>
        </w:trPr>
        <w:tc>
          <w:tcPr>
            <w:tcW w:w="462" w:type="dxa"/>
            <w:vMerge w:val="restart"/>
            <w:tcBorders>
              <w:top w:val="nil"/>
              <w:left w:val="single" w:color="auto" w:sz="8" w:space="0"/>
              <w:bottom w:val="single" w:color="000000"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绩效指标</w:t>
            </w:r>
          </w:p>
        </w:tc>
        <w:tc>
          <w:tcPr>
            <w:tcW w:w="479" w:type="dxa"/>
            <w:tcBorders>
              <w:top w:val="nil"/>
              <w:left w:val="nil"/>
              <w:bottom w:val="nil"/>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一级</w:t>
            </w:r>
          </w:p>
        </w:tc>
        <w:tc>
          <w:tcPr>
            <w:tcW w:w="1134" w:type="dxa"/>
            <w:gridSpan w:val="2"/>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二级指标</w:t>
            </w:r>
          </w:p>
        </w:tc>
        <w:tc>
          <w:tcPr>
            <w:tcW w:w="3156" w:type="dxa"/>
            <w:vMerge w:val="restar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三级指标</w:t>
            </w:r>
          </w:p>
        </w:tc>
        <w:tc>
          <w:tcPr>
            <w:tcW w:w="3614" w:type="dxa"/>
            <w:gridSpan w:val="2"/>
            <w:vMerge w:val="restart"/>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指标值</w:t>
            </w:r>
          </w:p>
        </w:tc>
      </w:tr>
      <w:tr>
        <w:tblPrEx>
          <w:tblLayout w:type="fixed"/>
          <w:tblCellMar>
            <w:top w:w="0" w:type="dxa"/>
            <w:left w:w="108" w:type="dxa"/>
            <w:bottom w:w="0" w:type="dxa"/>
            <w:right w:w="108" w:type="dxa"/>
          </w:tblCellMar>
        </w:tblPrEx>
        <w:trPr>
          <w:trHeight w:val="28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指标</w:t>
            </w:r>
          </w:p>
        </w:tc>
        <w:tc>
          <w:tcPr>
            <w:tcW w:w="1134" w:type="dxa"/>
            <w:gridSpan w:val="2"/>
            <w:vMerge w:val="continue"/>
            <w:tcBorders>
              <w:top w:val="nil"/>
              <w:left w:val="nil"/>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3156"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3614" w:type="dxa"/>
            <w:gridSpan w:val="2"/>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r>
      <w:tr>
        <w:tblPrEx>
          <w:tblLayout w:type="fixed"/>
          <w:tblCellMar>
            <w:top w:w="0" w:type="dxa"/>
            <w:left w:w="108" w:type="dxa"/>
            <w:bottom w:w="0" w:type="dxa"/>
            <w:right w:w="108" w:type="dxa"/>
          </w:tblCellMar>
        </w:tblPrEx>
        <w:trPr>
          <w:trHeight w:val="54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restar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产出指标</w:t>
            </w:r>
          </w:p>
        </w:tc>
        <w:tc>
          <w:tcPr>
            <w:tcW w:w="1134" w:type="dxa"/>
            <w:gridSpan w:val="2"/>
            <w:vMerge w:val="restart"/>
            <w:tcBorders>
              <w:top w:val="single" w:color="auto" w:sz="8" w:space="0"/>
              <w:left w:val="single" w:color="auto" w:sz="8" w:space="0"/>
              <w:bottom w:val="single" w:color="000000"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数量指标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指标1：人大代表履职补贴标准</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2400元/人</w:t>
            </w:r>
          </w:p>
        </w:tc>
      </w:tr>
      <w:tr>
        <w:tblPrEx>
          <w:tblLayout w:type="fixed"/>
          <w:tblCellMar>
            <w:top w:w="0" w:type="dxa"/>
            <w:left w:w="108" w:type="dxa"/>
            <w:bottom w:w="0" w:type="dxa"/>
            <w:right w:w="108" w:type="dxa"/>
          </w:tblCellMar>
        </w:tblPrEx>
        <w:trPr>
          <w:trHeight w:val="54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vMerge w:val="continue"/>
            <w:tcBorders>
              <w:top w:val="single" w:color="auto" w:sz="8" w:space="0"/>
              <w:left w:val="single" w:color="auto" w:sz="8" w:space="0"/>
              <w:bottom w:val="single" w:color="000000" w:sz="8" w:space="0"/>
              <w:right w:val="single" w:color="000000" w:sz="8" w:space="0"/>
            </w:tcBorders>
            <w:vAlign w:val="center"/>
          </w:tcPr>
          <w:p>
            <w:pPr>
              <w:widowControl/>
              <w:jc w:val="left"/>
              <w:rPr>
                <w:rFonts w:ascii="宋体" w:hAnsi="宋体" w:cs="宋体"/>
                <w:color w:val="000000"/>
                <w:kern w:val="0"/>
                <w:sz w:val="20"/>
                <w:szCs w:val="20"/>
              </w:rPr>
            </w:pP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指标2：人大代表补贴发放人数</w:t>
            </w:r>
          </w:p>
        </w:tc>
        <w:tc>
          <w:tcPr>
            <w:tcW w:w="3614" w:type="dxa"/>
            <w:gridSpan w:val="2"/>
            <w:tcBorders>
              <w:top w:val="single" w:color="auto" w:sz="8" w:space="0"/>
              <w:left w:val="nil"/>
              <w:bottom w:val="single" w:color="auto" w:sz="8" w:space="0"/>
              <w:right w:val="single" w:color="000000"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375人</w:t>
            </w:r>
          </w:p>
        </w:tc>
      </w:tr>
      <w:tr>
        <w:tblPrEx>
          <w:tblLayout w:type="fixed"/>
          <w:tblCellMar>
            <w:top w:w="0" w:type="dxa"/>
            <w:left w:w="108" w:type="dxa"/>
            <w:bottom w:w="0" w:type="dxa"/>
            <w:right w:w="108" w:type="dxa"/>
          </w:tblCellMar>
        </w:tblPrEx>
        <w:trPr>
          <w:trHeight w:val="60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质量指标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指标1：人大代表履职工作活动情况合规性</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依法履职</w:t>
            </w:r>
          </w:p>
        </w:tc>
      </w:tr>
      <w:tr>
        <w:tblPrEx>
          <w:tblLayout w:type="fixed"/>
          <w:tblCellMar>
            <w:top w:w="0" w:type="dxa"/>
            <w:left w:w="108" w:type="dxa"/>
            <w:bottom w:w="0" w:type="dxa"/>
            <w:right w:w="108" w:type="dxa"/>
          </w:tblCellMar>
        </w:tblPrEx>
        <w:trPr>
          <w:trHeight w:val="66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时效指标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指标1：履职补贴发放的及时性</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按年度计划序时完成资金支付</w:t>
            </w:r>
          </w:p>
        </w:tc>
      </w:tr>
      <w:tr>
        <w:tblPrEx>
          <w:tblLayout w:type="fixed"/>
          <w:tblCellMar>
            <w:top w:w="0" w:type="dxa"/>
            <w:left w:w="108" w:type="dxa"/>
            <w:bottom w:w="0" w:type="dxa"/>
            <w:right w:w="108" w:type="dxa"/>
          </w:tblCellMar>
        </w:tblPrEx>
        <w:trPr>
          <w:trHeight w:val="61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成本指标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指标1：履职补助总支出</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≤90万元</w:t>
            </w:r>
          </w:p>
        </w:tc>
      </w:tr>
      <w:tr>
        <w:tblPrEx>
          <w:tblLayout w:type="fixed"/>
          <w:tblCellMar>
            <w:top w:w="0" w:type="dxa"/>
            <w:left w:w="108" w:type="dxa"/>
            <w:bottom w:w="0" w:type="dxa"/>
            <w:right w:w="108" w:type="dxa"/>
          </w:tblCellMar>
        </w:tblPrEx>
        <w:trPr>
          <w:trHeight w:val="63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restart"/>
            <w:tcBorders>
              <w:top w:val="nil"/>
              <w:left w:val="single" w:color="auto" w:sz="8" w:space="0"/>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效益指标</w:t>
            </w: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经济效益指标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指标1：经济效益指标不适用</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不适用</w:t>
            </w:r>
          </w:p>
        </w:tc>
      </w:tr>
      <w:tr>
        <w:tblPrEx>
          <w:tblLayout w:type="fixed"/>
          <w:tblCellMar>
            <w:top w:w="0" w:type="dxa"/>
            <w:left w:w="108" w:type="dxa"/>
            <w:bottom w:w="0" w:type="dxa"/>
            <w:right w:w="108" w:type="dxa"/>
          </w:tblCellMar>
        </w:tblPrEx>
        <w:trPr>
          <w:trHeight w:val="90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社会效益指标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指标1：通过人大代表调研、视察、对民情民意收集，推进社会发展的影响程度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影响程度较大</w:t>
            </w:r>
          </w:p>
        </w:tc>
      </w:tr>
      <w:tr>
        <w:tblPrEx>
          <w:tblLayout w:type="fixed"/>
          <w:tblCellMar>
            <w:top w:w="0" w:type="dxa"/>
            <w:left w:w="108" w:type="dxa"/>
            <w:bottom w:w="0" w:type="dxa"/>
            <w:right w:w="108" w:type="dxa"/>
          </w:tblCellMar>
        </w:tblPrEx>
        <w:trPr>
          <w:trHeight w:val="70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生态效益指标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指标1：生态效益指标不适用</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不适用</w:t>
            </w:r>
          </w:p>
        </w:tc>
      </w:tr>
      <w:tr>
        <w:tblPrEx>
          <w:tblLayout w:type="fixed"/>
          <w:tblCellMar>
            <w:top w:w="0" w:type="dxa"/>
            <w:left w:w="108" w:type="dxa"/>
            <w:bottom w:w="0" w:type="dxa"/>
            <w:right w:w="108" w:type="dxa"/>
          </w:tblCellMar>
        </w:tblPrEx>
        <w:trPr>
          <w:trHeight w:val="1050"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vMerge w:val="continue"/>
            <w:tcBorders>
              <w:top w:val="nil"/>
              <w:left w:val="single" w:color="auto" w:sz="8" w:space="0"/>
              <w:bottom w:val="single" w:color="auto" w:sz="8" w:space="0"/>
              <w:right w:val="single" w:color="auto" w:sz="8" w:space="0"/>
            </w:tcBorders>
            <w:vAlign w:val="center"/>
          </w:tcPr>
          <w:p>
            <w:pPr>
              <w:widowControl/>
              <w:jc w:val="left"/>
              <w:rPr>
                <w:rFonts w:ascii="宋体" w:hAnsi="宋体" w:cs="宋体"/>
                <w:color w:val="000000"/>
                <w:kern w:val="0"/>
                <w:sz w:val="20"/>
                <w:szCs w:val="20"/>
              </w:rPr>
            </w:pP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可持续影响指标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指标1：对社会稳定和推动法律法规建成的影响程度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影响程度明显</w:t>
            </w:r>
          </w:p>
        </w:tc>
      </w:tr>
      <w:tr>
        <w:tblPrEx>
          <w:tblLayout w:type="fixed"/>
          <w:tblCellMar>
            <w:top w:w="0" w:type="dxa"/>
            <w:left w:w="108" w:type="dxa"/>
            <w:bottom w:w="0" w:type="dxa"/>
            <w:right w:w="108" w:type="dxa"/>
          </w:tblCellMar>
        </w:tblPrEx>
        <w:trPr>
          <w:trHeight w:val="975" w:hRule="atLeast"/>
        </w:trPr>
        <w:tc>
          <w:tcPr>
            <w:tcW w:w="462" w:type="dxa"/>
            <w:vMerge w:val="continue"/>
            <w:tcBorders>
              <w:top w:val="nil"/>
              <w:left w:val="single" w:color="auto" w:sz="8" w:space="0"/>
              <w:bottom w:val="single" w:color="000000" w:sz="8" w:space="0"/>
              <w:right w:val="single" w:color="auto" w:sz="8" w:space="0"/>
            </w:tcBorders>
            <w:vAlign w:val="center"/>
          </w:tcPr>
          <w:p>
            <w:pPr>
              <w:widowControl/>
              <w:jc w:val="left"/>
              <w:rPr>
                <w:rFonts w:ascii="宋体" w:hAnsi="宋体" w:cs="宋体"/>
                <w:color w:val="000000"/>
                <w:kern w:val="0"/>
                <w:sz w:val="20"/>
                <w:szCs w:val="20"/>
              </w:rPr>
            </w:pPr>
          </w:p>
        </w:tc>
        <w:tc>
          <w:tcPr>
            <w:tcW w:w="479" w:type="dxa"/>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满意度指标</w:t>
            </w:r>
          </w:p>
        </w:tc>
        <w:tc>
          <w:tcPr>
            <w:tcW w:w="113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满意度指标</w:t>
            </w:r>
          </w:p>
        </w:tc>
        <w:tc>
          <w:tcPr>
            <w:tcW w:w="3156" w:type="dxa"/>
            <w:tcBorders>
              <w:top w:val="nil"/>
              <w:left w:val="nil"/>
              <w:bottom w:val="single" w:color="auto" w:sz="8" w:space="0"/>
              <w:right w:val="single" w:color="auto" w:sz="8"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指标1：服务对象满意度</w:t>
            </w:r>
          </w:p>
        </w:tc>
        <w:tc>
          <w:tcPr>
            <w:tcW w:w="3614" w:type="dxa"/>
            <w:gridSpan w:val="2"/>
            <w:tcBorders>
              <w:top w:val="nil"/>
              <w:left w:val="nil"/>
              <w:bottom w:val="single" w:color="auto" w:sz="8" w:space="0"/>
              <w:right w:val="single" w:color="auto" w:sz="8"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≥90%</w:t>
            </w:r>
          </w:p>
        </w:tc>
      </w:tr>
    </w:tbl>
    <w:p>
      <w:pPr>
        <w:topLinePunct/>
        <w:adjustRightInd w:val="0"/>
        <w:snapToGrid w:val="0"/>
        <w:spacing w:line="560" w:lineRule="exact"/>
        <w:ind w:firstLine="640" w:firstLineChars="200"/>
        <w:rPr>
          <w:rFonts w:ascii="仿宋_GB2312" w:hAnsi="TimesNewRoman" w:eastAsia="仿宋_GB2312" w:cs="TimesNewRoman"/>
          <w:sz w:val="32"/>
          <w:szCs w:val="32"/>
        </w:rPr>
      </w:pPr>
    </w:p>
    <w:p>
      <w:pPr>
        <w:topLinePunct/>
        <w:adjustRightInd w:val="0"/>
        <w:snapToGrid w:val="0"/>
        <w:spacing w:line="56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（二）机关运行经费。</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寿县人大常委会办公室2024年机关运行经费财政拨款预算</w:t>
      </w:r>
      <w:r>
        <w:rPr>
          <w:rFonts w:asciiTheme="minorEastAsia" w:hAnsiTheme="minorEastAsia" w:eastAsiaTheme="minorEastAsia"/>
          <w:sz w:val="32"/>
          <w:szCs w:val="32"/>
        </w:rPr>
        <w:t>194.26</w:t>
      </w:r>
      <w:r>
        <w:rPr>
          <w:rFonts w:hint="eastAsia" w:asciiTheme="minorEastAsia" w:hAnsiTheme="minorEastAsia" w:eastAsiaTheme="minorEastAsia"/>
          <w:sz w:val="32"/>
          <w:szCs w:val="32"/>
        </w:rPr>
        <w:t>万元，比2023年预算减少</w:t>
      </w:r>
      <w:r>
        <w:rPr>
          <w:rFonts w:asciiTheme="minorEastAsia" w:hAnsiTheme="minorEastAsia" w:eastAsiaTheme="minorEastAsia"/>
          <w:sz w:val="32"/>
          <w:szCs w:val="32"/>
        </w:rPr>
        <w:t>87.05</w:t>
      </w:r>
      <w:r>
        <w:rPr>
          <w:rFonts w:hint="eastAsia" w:asciiTheme="minorEastAsia" w:hAnsiTheme="minorEastAsia" w:eastAsiaTheme="minorEastAsia"/>
          <w:sz w:val="32"/>
          <w:szCs w:val="32"/>
        </w:rPr>
        <w:t>万元，下降3</w:t>
      </w:r>
      <w:r>
        <w:rPr>
          <w:rFonts w:asciiTheme="minorEastAsia" w:hAnsiTheme="minorEastAsia" w:eastAsiaTheme="minorEastAsia"/>
          <w:sz w:val="32"/>
          <w:szCs w:val="32"/>
        </w:rPr>
        <w:t>0.94</w:t>
      </w:r>
      <w:r>
        <w:rPr>
          <w:rFonts w:hint="eastAsia" w:asciiTheme="minorEastAsia" w:hAnsiTheme="minorEastAsia" w:eastAsiaTheme="minorEastAsia"/>
          <w:sz w:val="32"/>
          <w:szCs w:val="32"/>
        </w:rPr>
        <w:t>%%，下降主要原因是厉行节约、压缩机关运行开支。</w:t>
      </w:r>
    </w:p>
    <w:p>
      <w:pPr>
        <w:topLinePunct/>
        <w:adjustRightInd w:val="0"/>
        <w:snapToGrid w:val="0"/>
        <w:spacing w:line="560" w:lineRule="exact"/>
        <w:ind w:firstLine="640" w:firstLineChars="200"/>
        <w:rPr>
          <w:rFonts w:asciiTheme="minorEastAsia" w:hAnsiTheme="minorEastAsia" w:eastAsiaTheme="minorEastAsia"/>
          <w:sz w:val="32"/>
          <w:szCs w:val="32"/>
        </w:rPr>
      </w:pPr>
    </w:p>
    <w:p>
      <w:pPr>
        <w:topLinePunct/>
        <w:adjustRightInd w:val="0"/>
        <w:snapToGrid w:val="0"/>
        <w:spacing w:line="56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（三）政府采购情况。</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寿县人大常委会办公室2024年政府采购预算</w:t>
      </w:r>
      <w:r>
        <w:rPr>
          <w:rFonts w:asciiTheme="minorEastAsia" w:hAnsiTheme="minorEastAsia" w:eastAsiaTheme="minorEastAsia"/>
          <w:sz w:val="32"/>
          <w:szCs w:val="32"/>
        </w:rPr>
        <w:t>3.2</w:t>
      </w:r>
      <w:r>
        <w:rPr>
          <w:rFonts w:hint="eastAsia" w:asciiTheme="minorEastAsia" w:hAnsiTheme="minorEastAsia" w:eastAsiaTheme="minorEastAsia"/>
          <w:sz w:val="32"/>
          <w:szCs w:val="32"/>
        </w:rPr>
        <w:t>万元。其中：政府采购货物预算</w:t>
      </w:r>
      <w:r>
        <w:rPr>
          <w:rFonts w:asciiTheme="minorEastAsia" w:hAnsiTheme="minorEastAsia" w:eastAsiaTheme="minorEastAsia"/>
          <w:sz w:val="32"/>
          <w:szCs w:val="32"/>
        </w:rPr>
        <w:t>3.2</w:t>
      </w:r>
      <w:r>
        <w:rPr>
          <w:rFonts w:hint="eastAsia" w:asciiTheme="minorEastAsia" w:hAnsiTheme="minorEastAsia" w:eastAsiaTheme="minorEastAsia"/>
          <w:sz w:val="32"/>
          <w:szCs w:val="32"/>
        </w:rPr>
        <w:t>万元，政府采购工程预算</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万元，政府采购服务预算</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w:t>
      </w:r>
    </w:p>
    <w:p>
      <w:pPr>
        <w:topLinePunct/>
        <w:adjustRightInd w:val="0"/>
        <w:snapToGrid w:val="0"/>
        <w:spacing w:line="560" w:lineRule="exact"/>
        <w:ind w:firstLine="640" w:firstLineChars="200"/>
        <w:rPr>
          <w:rFonts w:asciiTheme="minorEastAsia" w:hAnsiTheme="minorEastAsia" w:eastAsiaTheme="minorEastAsia"/>
          <w:sz w:val="32"/>
          <w:szCs w:val="32"/>
        </w:rPr>
      </w:pPr>
    </w:p>
    <w:p>
      <w:pPr>
        <w:topLinePunct/>
        <w:adjustRightInd w:val="0"/>
        <w:snapToGrid w:val="0"/>
        <w:spacing w:line="56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（四）国有资产占有使用情况。</w:t>
      </w:r>
    </w:p>
    <w:p>
      <w:pPr>
        <w:adjustRightInd w:val="0"/>
        <w:snapToGrid w:val="0"/>
        <w:spacing w:line="580" w:lineRule="exact"/>
        <w:ind w:firstLine="640" w:firstLineChars="200"/>
        <w:jc w:val="left"/>
        <w:rPr>
          <w:rFonts w:asciiTheme="minorEastAsia" w:hAnsiTheme="minorEastAsia" w:eastAsiaTheme="minorEastAsia"/>
          <w:color w:val="3366FF"/>
          <w:sz w:val="32"/>
          <w:szCs w:val="32"/>
        </w:rPr>
      </w:pPr>
      <w:r>
        <w:rPr>
          <w:rFonts w:hint="eastAsia" w:asciiTheme="minorEastAsia" w:hAnsiTheme="minorEastAsia" w:eastAsiaTheme="minorEastAsia"/>
          <w:sz w:val="32"/>
          <w:szCs w:val="32"/>
        </w:rPr>
        <w:t>截至202</w:t>
      </w:r>
      <w:r>
        <w:rPr>
          <w:rFonts w:asciiTheme="minorEastAsia" w:hAnsiTheme="minorEastAsia" w:eastAsiaTheme="minorEastAsia"/>
          <w:sz w:val="32"/>
          <w:szCs w:val="32"/>
        </w:rPr>
        <w:t>3</w:t>
      </w:r>
      <w:r>
        <w:rPr>
          <w:rFonts w:hint="eastAsia" w:asciiTheme="minorEastAsia" w:hAnsiTheme="minorEastAsia" w:eastAsiaTheme="minorEastAsia"/>
          <w:sz w:val="32"/>
          <w:szCs w:val="32"/>
        </w:rPr>
        <w:t>年12月31日，</w:t>
      </w:r>
      <w:r>
        <w:rPr>
          <w:rFonts w:hint="eastAsia" w:cs="宋体" w:asciiTheme="minorEastAsia" w:hAnsiTheme="minorEastAsia" w:eastAsiaTheme="minorEastAsia"/>
          <w:kern w:val="0"/>
          <w:sz w:val="32"/>
          <w:szCs w:val="32"/>
        </w:rPr>
        <w:t>寿县人大常委会办公室</w:t>
      </w:r>
      <w:r>
        <w:rPr>
          <w:rFonts w:hint="eastAsia" w:asciiTheme="minorEastAsia" w:hAnsiTheme="minorEastAsia" w:eastAsiaTheme="minorEastAsia"/>
          <w:sz w:val="32"/>
          <w:szCs w:val="32"/>
        </w:rPr>
        <w:t>共有车辆0辆；单位价值50万元以上的通用设备0台（套）；单位价值100万元以上的专用设备0台（套）。</w:t>
      </w:r>
    </w:p>
    <w:p>
      <w:pPr>
        <w:adjustRightInd w:val="0"/>
        <w:snapToGrid w:val="0"/>
        <w:spacing w:line="580" w:lineRule="exact"/>
        <w:ind w:firstLine="640" w:firstLineChars="200"/>
        <w:jc w:val="left"/>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asciiTheme="minorEastAsia" w:hAnsiTheme="minorEastAsia" w:eastAsiaTheme="minorEastAsia"/>
          <w:sz w:val="32"/>
          <w:szCs w:val="32"/>
        </w:rPr>
        <w:t>4</w:t>
      </w:r>
      <w:r>
        <w:rPr>
          <w:rFonts w:hint="eastAsia" w:asciiTheme="minorEastAsia" w:hAnsiTheme="minorEastAsia" w:eastAsiaTheme="minorEastAsia"/>
          <w:sz w:val="32"/>
          <w:szCs w:val="32"/>
        </w:rPr>
        <w:t>年部门预算安排购置公务用车0辆，购置费0万元；安排购置单位价值50万元以上的通用设备0台（套），购置费0万元；安排购置单位价值100万元以上专用设备0台（套），购置费0万元。</w:t>
      </w:r>
    </w:p>
    <w:p>
      <w:pPr>
        <w:adjustRightInd w:val="0"/>
        <w:snapToGrid w:val="0"/>
        <w:spacing w:line="580" w:lineRule="exact"/>
        <w:ind w:firstLine="640" w:firstLineChars="200"/>
        <w:jc w:val="left"/>
        <w:rPr>
          <w:rFonts w:asciiTheme="minorEastAsia" w:hAnsiTheme="minorEastAsia" w:eastAsiaTheme="minorEastAsia"/>
          <w:sz w:val="32"/>
          <w:szCs w:val="32"/>
        </w:rPr>
      </w:pPr>
    </w:p>
    <w:p>
      <w:pPr>
        <w:topLinePunct/>
        <w:adjustRightInd w:val="0"/>
        <w:snapToGrid w:val="0"/>
        <w:spacing w:line="560" w:lineRule="exact"/>
        <w:ind w:firstLine="643" w:firstLineChars="200"/>
        <w:rPr>
          <w:rFonts w:ascii="仿宋_GB2312" w:hAnsi="TimesNewRoman" w:eastAsia="仿宋_GB2312" w:cs="TimesNewRoman"/>
          <w:b/>
          <w:sz w:val="32"/>
          <w:szCs w:val="32"/>
        </w:rPr>
      </w:pPr>
      <w:r>
        <w:rPr>
          <w:rFonts w:hint="eastAsia" w:ascii="仿宋_GB2312" w:hAnsi="TimesNewRoman" w:eastAsia="仿宋_GB2312" w:cs="TimesNewRoman"/>
          <w:b/>
          <w:sz w:val="32"/>
          <w:szCs w:val="32"/>
        </w:rPr>
        <w:t>（五）绩效目标设置情况。</w:t>
      </w: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2024年，寿县人大常委会办公室</w:t>
      </w:r>
      <w:r>
        <w:rPr>
          <w:rFonts w:asciiTheme="minorEastAsia" w:hAnsiTheme="minorEastAsia" w:eastAsiaTheme="minorEastAsia"/>
          <w:sz w:val="32"/>
          <w:szCs w:val="32"/>
        </w:rPr>
        <w:t>2</w:t>
      </w:r>
      <w:r>
        <w:rPr>
          <w:rFonts w:hint="eastAsia" w:asciiTheme="minorEastAsia" w:hAnsiTheme="minorEastAsia" w:eastAsiaTheme="minorEastAsia"/>
          <w:sz w:val="32"/>
          <w:szCs w:val="32"/>
        </w:rPr>
        <w:t>个项目实行了绩效目标管理，涉及一般公共预算当年财政拨款</w:t>
      </w:r>
      <w:r>
        <w:rPr>
          <w:rFonts w:asciiTheme="minorEastAsia" w:hAnsiTheme="minorEastAsia" w:eastAsiaTheme="minorEastAsia"/>
          <w:sz w:val="32"/>
          <w:szCs w:val="32"/>
        </w:rPr>
        <w:t>230.41</w:t>
      </w:r>
      <w:r>
        <w:rPr>
          <w:rFonts w:hint="eastAsia" w:asciiTheme="minorEastAsia" w:hAnsiTheme="minorEastAsia" w:eastAsiaTheme="minorEastAsia"/>
          <w:sz w:val="32"/>
          <w:szCs w:val="32"/>
        </w:rPr>
        <w:t>万元、政府性基金预算当年财政拨款</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万元、国有资本经营预算当年财政拨款</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万元、财政专户管理资金当年安排</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万元和单位资金当年安排</w:t>
      </w:r>
      <w:r>
        <w:rPr>
          <w:rFonts w:asciiTheme="minorEastAsia" w:hAnsiTheme="minorEastAsia" w:eastAsiaTheme="minorEastAsia"/>
          <w:sz w:val="32"/>
          <w:szCs w:val="32"/>
        </w:rPr>
        <w:t>0</w:t>
      </w:r>
      <w:r>
        <w:rPr>
          <w:rFonts w:hint="eastAsia" w:asciiTheme="minorEastAsia" w:hAnsiTheme="minorEastAsia" w:eastAsiaTheme="minorEastAsia"/>
          <w:sz w:val="32"/>
          <w:szCs w:val="32"/>
        </w:rPr>
        <w:t>万元。</w:t>
      </w:r>
    </w:p>
    <w:p>
      <w:pPr>
        <w:topLinePunct/>
        <w:adjustRightInd w:val="0"/>
        <w:snapToGrid w:val="0"/>
        <w:spacing w:line="560" w:lineRule="exact"/>
        <w:ind w:firstLine="720" w:firstLineChars="200"/>
        <w:rPr>
          <w:rFonts w:ascii="TimesNewRoman" w:hAnsi="TimesNewRoman" w:eastAsia="黑体" w:cs="TimesNewRoman"/>
          <w:sz w:val="36"/>
          <w:szCs w:val="36"/>
        </w:rPr>
      </w:pPr>
    </w:p>
    <w:p>
      <w:pPr>
        <w:topLinePunct/>
        <w:adjustRightInd w:val="0"/>
        <w:snapToGrid w:val="0"/>
        <w:spacing w:line="560" w:lineRule="exact"/>
        <w:jc w:val="center"/>
        <w:rPr>
          <w:rFonts w:ascii="TimesNewRoman" w:hAnsi="TimesNewRoman" w:eastAsia="黑体" w:cs="TimesNewRoman"/>
          <w:b/>
          <w:sz w:val="44"/>
          <w:szCs w:val="36"/>
        </w:rPr>
      </w:pPr>
      <w:r>
        <w:rPr>
          <w:rFonts w:ascii="TimesNewRoman" w:hAnsi="TimesNewRoman" w:eastAsia="黑体" w:cs="TimesNewRoman"/>
          <w:b/>
          <w:sz w:val="44"/>
          <w:szCs w:val="36"/>
        </w:rPr>
        <w:t>第四部分 名词解释</w:t>
      </w:r>
    </w:p>
    <w:p>
      <w:pPr>
        <w:topLinePunct/>
        <w:adjustRightInd w:val="0"/>
        <w:snapToGrid w:val="0"/>
        <w:spacing w:line="560" w:lineRule="exact"/>
        <w:rPr>
          <w:rFonts w:ascii="TimesNewRoman" w:hAnsi="TimesNewRoman" w:eastAsia="黑体" w:cs="TimesNewRoman"/>
          <w:szCs w:val="32"/>
        </w:rPr>
      </w:pPr>
    </w:p>
    <w:p>
      <w:pPr>
        <w:topLinePunct/>
        <w:adjustRightInd w:val="0"/>
        <w:snapToGrid w:val="0"/>
        <w:spacing w:line="560" w:lineRule="exact"/>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一、财政拨款收入：</w:t>
      </w:r>
      <w:r>
        <w:rPr>
          <w:rFonts w:asciiTheme="minorEastAsia" w:hAnsiTheme="minorEastAsia" w:eastAsiaTheme="minorEastAsia"/>
          <w:sz w:val="32"/>
          <w:szCs w:val="32"/>
        </w:rPr>
        <w:t>指部门或单位从同级财政部门取得的财政预算资金。</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二、事业收入：指事业单位开展专业业务活动及辅助活动所取得的收入。</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三、财政专户管理资金：指按照非税收入管理相关规定，纳入财政专户管理的教育收费等。</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四、事业单位经营收入：指事业单位在专业业务活动及其辅助活动之外开展非独立核算经营活动取得的收入。</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五、附属单位上缴收入：本单位所属下级单位上缴给本单位的全部收入。</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六、上年结转：指以前年度安排、结转到本年仍按原用途继续使用的资金。</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七、结转下年：指以前年度预算安排、因客观条件发生变化无法按原计划实施，需以后年度按原用途继续使用的资金。</w:t>
      </w:r>
    </w:p>
    <w:p>
      <w:pPr>
        <w:pStyle w:val="4"/>
        <w:topLinePunct/>
        <w:adjustRightInd w:val="0"/>
        <w:snapToGrid w:val="0"/>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八、基本支出：指为保障机构正常运转、完成日常工作任务而发生的人员支出和公用支出。</w:t>
      </w:r>
    </w:p>
    <w:p>
      <w:pPr>
        <w:pStyle w:val="4"/>
        <w:topLinePunct/>
        <w:spacing w:beforeAutospacing="0" w:afterAutospacing="0" w:line="560" w:lineRule="exact"/>
        <w:ind w:firstLine="627" w:firstLineChars="196"/>
        <w:jc w:val="both"/>
        <w:rPr>
          <w:rFonts w:asciiTheme="minorEastAsia" w:hAnsiTheme="minorEastAsia" w:eastAsiaTheme="minorEastAsia"/>
          <w:kern w:val="2"/>
          <w:sz w:val="32"/>
          <w:szCs w:val="32"/>
        </w:rPr>
      </w:pPr>
      <w:r>
        <w:rPr>
          <w:rFonts w:asciiTheme="minorEastAsia" w:hAnsiTheme="minorEastAsia" w:eastAsiaTheme="minorEastAsia"/>
          <w:kern w:val="2"/>
          <w:sz w:val="32"/>
          <w:szCs w:val="32"/>
        </w:rPr>
        <w:t>九、项目支出：指在除基本支出之外的支出，主要用于完成特定的工作任务和事业发展目标。</w:t>
      </w:r>
      <w:r>
        <w:rPr>
          <w:rFonts w:asciiTheme="minorEastAsia" w:hAnsiTheme="minorEastAsia" w:eastAsiaTheme="minorEastAsia"/>
          <w:kern w:val="2"/>
          <w:sz w:val="32"/>
          <w:szCs w:val="32"/>
        </w:rPr>
        <w:br w:type="textWrapping"/>
      </w:r>
      <w:r>
        <w:rPr>
          <w:rFonts w:asciiTheme="minorEastAsia" w:hAnsiTheme="minorEastAsia" w:eastAsiaTheme="minorEastAsia"/>
          <w:kern w:val="2"/>
          <w:sz w:val="32"/>
          <w:szCs w:val="32"/>
        </w:rPr>
        <w:t xml:space="preserve">    十、机关运行经费:为保障行政单位（包括参照公务员法管理的事业单位）运行用于购买货物和服务的各项资金，包括办公及印刷费、邮电费、差旅费、会议费、福利费、日常维修费、一般设备购置费、办公用房水电费、办公用房取暖费、办公用房物业管理费、公务用车运行维护费以及其他费用。</w:t>
      </w:r>
    </w:p>
    <w:p>
      <w:pPr>
        <w:pStyle w:val="4"/>
        <w:topLinePunct/>
        <w:spacing w:beforeAutospacing="0" w:afterAutospacing="0" w:line="560" w:lineRule="exact"/>
        <w:ind w:firstLine="360" w:firstLineChars="150"/>
        <w:jc w:val="both"/>
        <w:rPr>
          <w:rFonts w:asciiTheme="minorEastAsia" w:hAnsiTheme="minorEastAsia" w:eastAsiaTheme="minorEastAsia"/>
          <w:bCs/>
          <w:kern w:val="2"/>
        </w:rPr>
      </w:pPr>
    </w:p>
    <w:p>
      <w:pPr>
        <w:rPr>
          <w:rFonts w:asciiTheme="minorEastAsia" w:hAnsiTheme="minorEastAsia" w:eastAsiaTheme="minorEastAsia"/>
          <w:sz w:val="32"/>
          <w:szCs w:val="32"/>
        </w:rPr>
      </w:pPr>
    </w:p>
    <w:sectPr>
      <w:footerReference r:id="rId5" w:type="default"/>
      <w:type w:val="oddPage"/>
      <w:pgSz w:w="11907" w:h="16840"/>
      <w:pgMar w:top="2098" w:right="1474" w:bottom="1985" w:left="1588" w:header="851" w:footer="102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imesNewRoman">
    <w:altName w:val="Segoe Print"/>
    <w:panose1 w:val="00000000000000000000"/>
    <w:charset w:val="00"/>
    <w:family w:val="auto"/>
    <w:pitch w:val="default"/>
    <w:sig w:usb0="00000000" w:usb1="00000000" w:usb2="00000029" w:usb3="00000000" w:csb0="600001FF" w:csb1="FFFF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汉仪中秀体简">
    <w:altName w:val="微软雅黑"/>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180"/>
      <w:jc w:val="right"/>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37</w:t>
    </w:r>
    <w:r>
      <w:rPr>
        <w:sz w:val="28"/>
        <w:szCs w:val="28"/>
      </w:rPr>
      <w:fldChar w:fldCharType="end"/>
    </w:r>
    <w:r>
      <w:rPr>
        <w:rFonts w:hint="eastAsia"/>
        <w:sz w:val="28"/>
        <w:szCs w:val="28"/>
      </w:rPr>
      <w:t xml:space="preserve"> </w:t>
    </w:r>
    <w:r>
      <w:rPr>
        <w:rFonts w:hint="eastAsia" w:ascii="宋体" w:hAnsi="宋体"/>
        <w:sz w:val="28"/>
        <w:szCs w:val="28"/>
      </w:rPr>
      <w:t xml:space="preserve">— </w:t>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420" w:leftChars="200"/>
      <w:rPr>
        <w:rFonts w:ascii="宋体" w:hAnsi="宋体"/>
        <w:sz w:val="28"/>
        <w:szCs w:val="28"/>
      </w:rPr>
    </w:pPr>
    <w:r>
      <w:rPr>
        <w:rFonts w:hint="eastAsia" w:ascii="宋体" w:hAnsi="宋体"/>
        <w:sz w:val="28"/>
        <w:szCs w:val="28"/>
      </w:rPr>
      <w:t xml:space="preserve">— </w:t>
    </w:r>
    <w:r>
      <w:rPr>
        <w:rFonts w:hint="eastAsia" w:ascii="宋体" w:hAnsi="宋体"/>
        <w:sz w:val="28"/>
        <w:szCs w:val="28"/>
      </w:rPr>
      <w:fldChar w:fldCharType="begin"/>
    </w:r>
    <w:r>
      <w:rPr>
        <w:rFonts w:hint="eastAsia" w:ascii="宋体" w:hAnsi="宋体"/>
        <w:sz w:val="28"/>
        <w:szCs w:val="28"/>
      </w:rPr>
      <w:instrText xml:space="preserve"> PAGE   \* MERGEFORMAT </w:instrText>
    </w:r>
    <w:r>
      <w:rPr>
        <w:rFonts w:hint="eastAsia" w:ascii="宋体" w:hAnsi="宋体"/>
        <w:sz w:val="28"/>
        <w:szCs w:val="28"/>
      </w:rPr>
      <w:fldChar w:fldCharType="separate"/>
    </w:r>
    <w:r>
      <w:rPr>
        <w:rFonts w:ascii="宋体" w:hAnsi="宋体"/>
        <w:sz w:val="28"/>
        <w:szCs w:val="28"/>
        <w:lang w:val="zh-CN"/>
      </w:rPr>
      <w:t>38</w:t>
    </w:r>
    <w:r>
      <w:rPr>
        <w:rFonts w:hint="eastAsia" w:ascii="宋体" w:hAnsi="宋体"/>
        <w:sz w:val="28"/>
        <w:szCs w:val="28"/>
      </w:rPr>
      <w:fldChar w:fldCharType="end"/>
    </w:r>
    <w:r>
      <w:rPr>
        <w:rFonts w:hint="eastAsia" w:ascii="宋体" w:hAnsi="宋体"/>
        <w:sz w:val="28"/>
        <w:szCs w:val="28"/>
      </w:rPr>
      <w:t xml:space="preserve"> —</w:t>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YxMzU0MGNiODRkZjMxOTk4NmUxY2Y0OWNmZjRjMmQifQ=="/>
  </w:docVars>
  <w:rsids>
    <w:rsidRoot w:val="34C97AC9"/>
    <w:rsid w:val="0002059B"/>
    <w:rsid w:val="00031D8E"/>
    <w:rsid w:val="00045EC3"/>
    <w:rsid w:val="00152059"/>
    <w:rsid w:val="00164F92"/>
    <w:rsid w:val="001C6C39"/>
    <w:rsid w:val="002C04C4"/>
    <w:rsid w:val="00323501"/>
    <w:rsid w:val="003A699D"/>
    <w:rsid w:val="005C576E"/>
    <w:rsid w:val="006511FC"/>
    <w:rsid w:val="00700553"/>
    <w:rsid w:val="00726427"/>
    <w:rsid w:val="007C16F4"/>
    <w:rsid w:val="008A36DE"/>
    <w:rsid w:val="008F3F38"/>
    <w:rsid w:val="009839C6"/>
    <w:rsid w:val="009E6899"/>
    <w:rsid w:val="00AB4257"/>
    <w:rsid w:val="00B02935"/>
    <w:rsid w:val="00B87770"/>
    <w:rsid w:val="00BD6D01"/>
    <w:rsid w:val="00C020DA"/>
    <w:rsid w:val="00C51DB9"/>
    <w:rsid w:val="00C74387"/>
    <w:rsid w:val="00CD6D48"/>
    <w:rsid w:val="00DE4A79"/>
    <w:rsid w:val="00E23BE4"/>
    <w:rsid w:val="00E34696"/>
    <w:rsid w:val="00E64A2A"/>
    <w:rsid w:val="00E74DBB"/>
    <w:rsid w:val="00F10697"/>
    <w:rsid w:val="00F92C8E"/>
    <w:rsid w:val="00FF3C94"/>
    <w:rsid w:val="062547BB"/>
    <w:rsid w:val="34C97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rFonts w:ascii="Calibri" w:hAnsi="Calibri"/>
      <w:kern w:val="0"/>
      <w:sz w:val="24"/>
    </w:rPr>
  </w:style>
  <w:style w:type="character" w:styleId="7">
    <w:name w:val="Strong"/>
    <w:basedOn w:val="6"/>
    <w:qFormat/>
    <w:uiPriority w:val="0"/>
    <w:rPr>
      <w:b/>
      <w:bCs/>
    </w:rPr>
  </w:style>
  <w:style w:type="character" w:customStyle="1" w:styleId="8">
    <w:name w:val="页眉 字符"/>
    <w:basedOn w:val="6"/>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32</Pages>
  <Words>2061</Words>
  <Characters>11749</Characters>
  <Lines>97</Lines>
  <Paragraphs>27</Paragraphs>
  <TotalTime>42</TotalTime>
  <ScaleCrop>false</ScaleCrop>
  <LinksUpToDate>false</LinksUpToDate>
  <CharactersWithSpaces>13783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2024-01-25T12:01:00Z</dcterms:created>
  <dc:creator>二蛋</dc:creator>
  <cp:lastModifiedBy>李海静</cp:lastModifiedBy>
  <dcterms:modified xsi:type="dcterms:W3CDTF">2025-06-20T09:22:06Z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AB12261BCF484B528A5866483B2ED966_11</vt:lpwstr>
  </property>
  <property fmtid="{D5CDD505-2E9C-101B-9397-08002B2CF9AE}" pid="3" name="KSOProductBuildVer">
    <vt:lpwstr>2052-11.8.2.8506</vt:lpwstr>
  </property>
</Properties>
</file>