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hint="eastAsia" w:ascii="仿宋_GB2312" w:hAnsi="华文中宋" w:eastAsia="仿宋_GB2312" w:cs="华文中宋"/>
          <w:b/>
          <w:sz w:val="32"/>
          <w:szCs w:val="32"/>
        </w:rPr>
      </w:pPr>
    </w:p>
    <w:p>
      <w:pPr>
        <w:adjustRightInd w:val="0"/>
        <w:snapToGrid w:val="0"/>
        <w:spacing w:line="360" w:lineRule="auto"/>
        <w:jc w:val="center"/>
        <w:rPr>
          <w:rFonts w:ascii="仿宋_GB2312" w:hAnsi="华文中宋" w:eastAsia="仿宋_GB2312" w:cs="华文中宋"/>
          <w:b/>
          <w:sz w:val="32"/>
          <w:szCs w:val="32"/>
        </w:rPr>
      </w:pPr>
    </w:p>
    <w:p>
      <w:pPr>
        <w:adjustRightInd w:val="0"/>
        <w:snapToGrid w:val="0"/>
        <w:spacing w:line="360" w:lineRule="auto"/>
        <w:jc w:val="center"/>
        <w:rPr>
          <w:rFonts w:ascii="方正小标宋简体" w:hAnsi="方正小标宋简体" w:eastAsia="方正小标宋简体" w:cs="华文中宋"/>
          <w:b/>
          <w:sz w:val="44"/>
          <w:szCs w:val="44"/>
        </w:rPr>
      </w:pPr>
      <w:r>
        <w:rPr>
          <w:rFonts w:hint="eastAsia" w:ascii="方正小标宋简体" w:hAnsi="方正小标宋简体" w:eastAsia="方正小标宋简体" w:cs="华文中宋"/>
          <w:b/>
          <w:sz w:val="44"/>
          <w:szCs w:val="44"/>
        </w:rPr>
        <w:t>寿县人大办公室2023年部门预算</w:t>
      </w:r>
    </w:p>
    <w:p>
      <w:pPr>
        <w:pStyle w:val="6"/>
        <w:adjustRightInd w:val="0"/>
        <w:snapToGrid w:val="0"/>
        <w:spacing w:before="0" w:beforeAutospacing="0" w:after="0" w:afterAutospacing="0" w:line="360" w:lineRule="auto"/>
        <w:jc w:val="center"/>
        <w:rPr>
          <w:rFonts w:ascii="仿宋_GB2312" w:hAnsi="黑体" w:eastAsia="仿宋_GB2312"/>
          <w:bCs/>
          <w:sz w:val="32"/>
          <w:szCs w:val="32"/>
        </w:rPr>
      </w:pPr>
    </w:p>
    <w:p>
      <w:pPr>
        <w:pStyle w:val="6"/>
        <w:adjustRightInd w:val="0"/>
        <w:snapToGrid w:val="0"/>
        <w:spacing w:before="0" w:beforeAutospacing="0" w:after="0" w:afterAutospacing="0" w:line="360" w:lineRule="auto"/>
        <w:jc w:val="center"/>
        <w:rPr>
          <w:rFonts w:ascii="仿宋_GB2312" w:hAnsi="黑体" w:eastAsia="仿宋_GB2312"/>
          <w:bCs/>
          <w:sz w:val="32"/>
          <w:szCs w:val="32"/>
        </w:rPr>
      </w:pPr>
    </w:p>
    <w:p>
      <w:pPr>
        <w:pStyle w:val="6"/>
        <w:adjustRightInd w:val="0"/>
        <w:snapToGrid w:val="0"/>
        <w:spacing w:before="0" w:beforeAutospacing="0" w:after="0" w:afterAutospacing="0" w:line="360" w:lineRule="auto"/>
        <w:jc w:val="center"/>
        <w:rPr>
          <w:rFonts w:ascii="仿宋_GB2312" w:hAnsi="黑体" w:eastAsia="仿宋_GB2312"/>
          <w:bCs/>
          <w:sz w:val="32"/>
          <w:szCs w:val="32"/>
        </w:rPr>
      </w:pPr>
    </w:p>
    <w:p>
      <w:pPr>
        <w:pStyle w:val="6"/>
        <w:adjustRightInd w:val="0"/>
        <w:snapToGrid w:val="0"/>
        <w:spacing w:before="0" w:beforeAutospacing="0" w:after="0" w:afterAutospacing="0" w:line="360" w:lineRule="auto"/>
        <w:jc w:val="center"/>
        <w:rPr>
          <w:rFonts w:ascii="仿宋_GB2312" w:hAnsi="黑体" w:eastAsia="仿宋_GB2312"/>
          <w:bCs/>
          <w:sz w:val="32"/>
          <w:szCs w:val="32"/>
        </w:rPr>
      </w:pPr>
    </w:p>
    <w:p>
      <w:pPr>
        <w:pStyle w:val="6"/>
        <w:adjustRightInd w:val="0"/>
        <w:snapToGrid w:val="0"/>
        <w:spacing w:before="0" w:beforeAutospacing="0" w:after="0" w:afterAutospacing="0" w:line="360" w:lineRule="auto"/>
        <w:jc w:val="center"/>
        <w:rPr>
          <w:rFonts w:ascii="仿宋_GB2312" w:hAnsi="黑体" w:eastAsia="仿宋_GB2312"/>
          <w:bCs/>
          <w:sz w:val="32"/>
          <w:szCs w:val="32"/>
        </w:rPr>
      </w:pPr>
    </w:p>
    <w:p>
      <w:pPr>
        <w:pStyle w:val="6"/>
        <w:adjustRightInd w:val="0"/>
        <w:snapToGrid w:val="0"/>
        <w:spacing w:before="0" w:beforeAutospacing="0" w:after="0" w:afterAutospacing="0" w:line="360" w:lineRule="auto"/>
        <w:jc w:val="center"/>
        <w:rPr>
          <w:rFonts w:ascii="仿宋_GB2312" w:hAnsi="黑体" w:eastAsia="仿宋_GB2312"/>
          <w:bCs/>
          <w:sz w:val="32"/>
          <w:szCs w:val="32"/>
        </w:rPr>
      </w:pPr>
    </w:p>
    <w:p>
      <w:pPr>
        <w:pStyle w:val="6"/>
        <w:adjustRightInd w:val="0"/>
        <w:snapToGrid w:val="0"/>
        <w:spacing w:before="0" w:beforeAutospacing="0" w:after="0" w:afterAutospacing="0" w:line="360" w:lineRule="auto"/>
        <w:jc w:val="center"/>
        <w:rPr>
          <w:rFonts w:ascii="仿宋_GB2312" w:hAnsi="黑体" w:eastAsia="仿宋_GB2312"/>
          <w:bCs/>
          <w:sz w:val="32"/>
          <w:szCs w:val="32"/>
        </w:rPr>
      </w:pPr>
    </w:p>
    <w:p>
      <w:pPr>
        <w:pStyle w:val="6"/>
        <w:adjustRightInd w:val="0"/>
        <w:snapToGrid w:val="0"/>
        <w:spacing w:before="0" w:beforeAutospacing="0" w:after="0" w:afterAutospacing="0" w:line="360" w:lineRule="auto"/>
        <w:jc w:val="center"/>
        <w:rPr>
          <w:rFonts w:ascii="仿宋_GB2312" w:hAnsi="黑体" w:eastAsia="仿宋_GB2312"/>
          <w:bCs/>
          <w:sz w:val="32"/>
          <w:szCs w:val="32"/>
        </w:rPr>
      </w:pPr>
    </w:p>
    <w:p>
      <w:pPr>
        <w:pStyle w:val="6"/>
        <w:adjustRightInd w:val="0"/>
        <w:snapToGrid w:val="0"/>
        <w:spacing w:before="0" w:beforeAutospacing="0" w:after="0" w:afterAutospacing="0" w:line="360" w:lineRule="auto"/>
        <w:jc w:val="center"/>
        <w:rPr>
          <w:rFonts w:ascii="仿宋_GB2312" w:hAnsi="黑体" w:eastAsia="仿宋_GB2312"/>
          <w:bCs/>
          <w:sz w:val="32"/>
          <w:szCs w:val="32"/>
        </w:rPr>
      </w:pPr>
    </w:p>
    <w:p>
      <w:pPr>
        <w:pStyle w:val="6"/>
        <w:adjustRightInd w:val="0"/>
        <w:snapToGrid w:val="0"/>
        <w:spacing w:before="0" w:beforeAutospacing="0" w:after="0" w:afterAutospacing="0" w:line="360" w:lineRule="auto"/>
        <w:jc w:val="center"/>
        <w:rPr>
          <w:rFonts w:ascii="仿宋_GB2312" w:hAnsi="黑体" w:eastAsia="仿宋_GB2312"/>
          <w:bCs/>
          <w:sz w:val="32"/>
          <w:szCs w:val="32"/>
        </w:rPr>
      </w:pPr>
    </w:p>
    <w:p>
      <w:pPr>
        <w:pStyle w:val="6"/>
        <w:adjustRightInd w:val="0"/>
        <w:snapToGrid w:val="0"/>
        <w:spacing w:before="0" w:beforeAutospacing="0" w:after="0" w:afterAutospacing="0" w:line="360" w:lineRule="auto"/>
        <w:jc w:val="center"/>
        <w:rPr>
          <w:rFonts w:ascii="仿宋_GB2312" w:hAnsi="黑体" w:eastAsia="仿宋_GB2312"/>
          <w:bCs/>
          <w:sz w:val="32"/>
          <w:szCs w:val="32"/>
        </w:rPr>
      </w:pPr>
    </w:p>
    <w:p>
      <w:pPr>
        <w:pStyle w:val="6"/>
        <w:adjustRightInd w:val="0"/>
        <w:snapToGrid w:val="0"/>
        <w:spacing w:before="0" w:beforeAutospacing="0" w:after="0" w:afterAutospacing="0" w:line="360" w:lineRule="auto"/>
        <w:jc w:val="center"/>
        <w:rPr>
          <w:rFonts w:ascii="方正小标宋简体" w:hAnsi="方正小标宋简体" w:eastAsia="方正小标宋简体"/>
          <w:bCs/>
          <w:sz w:val="44"/>
          <w:szCs w:val="44"/>
        </w:rPr>
      </w:pPr>
      <w:r>
        <w:rPr>
          <w:rFonts w:hint="eastAsia" w:ascii="方正小标宋简体" w:hAnsi="方正小标宋简体" w:eastAsia="方正小标宋简体"/>
          <w:bCs/>
          <w:sz w:val="44"/>
          <w:szCs w:val="44"/>
        </w:rPr>
        <w:t>2023年1月</w:t>
      </w:r>
    </w:p>
    <w:p>
      <w:pPr>
        <w:pStyle w:val="6"/>
        <w:adjustRightInd w:val="0"/>
        <w:snapToGrid w:val="0"/>
        <w:spacing w:before="0" w:beforeAutospacing="0" w:after="0" w:afterAutospacing="0" w:line="360" w:lineRule="auto"/>
        <w:jc w:val="center"/>
        <w:rPr>
          <w:rFonts w:ascii="仿宋_GB2312" w:hAnsi="黑体" w:eastAsia="仿宋_GB2312"/>
          <w:bCs/>
          <w:sz w:val="32"/>
          <w:szCs w:val="32"/>
        </w:rPr>
      </w:pPr>
    </w:p>
    <w:p>
      <w:pPr>
        <w:pStyle w:val="6"/>
        <w:adjustRightInd w:val="0"/>
        <w:snapToGrid w:val="0"/>
        <w:spacing w:before="0" w:beforeAutospacing="0" w:after="0" w:afterAutospacing="0" w:line="500" w:lineRule="exact"/>
        <w:jc w:val="center"/>
        <w:rPr>
          <w:rFonts w:ascii="方正小标宋简体" w:hAnsi="方正小标宋简体" w:eastAsia="方正小标宋简体"/>
          <w:bCs/>
          <w:sz w:val="44"/>
          <w:szCs w:val="44"/>
        </w:rPr>
      </w:pPr>
      <w:r>
        <w:rPr>
          <w:rFonts w:hint="eastAsia" w:ascii="方正小标宋简体" w:hAnsi="方正小标宋简体" w:eastAsia="方正小标宋简体"/>
          <w:bCs/>
          <w:sz w:val="44"/>
          <w:szCs w:val="44"/>
        </w:rPr>
        <w:t>目 录</w:t>
      </w:r>
    </w:p>
    <w:p>
      <w:pPr>
        <w:pStyle w:val="6"/>
        <w:adjustRightInd w:val="0"/>
        <w:snapToGrid w:val="0"/>
        <w:spacing w:before="0" w:beforeAutospacing="0" w:after="0" w:afterAutospacing="0" w:line="500" w:lineRule="exact"/>
        <w:jc w:val="center"/>
        <w:rPr>
          <w:rFonts w:ascii="仿宋_GB2312" w:hAnsi="黑体" w:eastAsia="仿宋_GB2312"/>
          <w:bCs/>
          <w:sz w:val="32"/>
          <w:szCs w:val="32"/>
        </w:rPr>
      </w:pPr>
    </w:p>
    <w:p>
      <w:pPr>
        <w:pStyle w:val="6"/>
        <w:adjustRightInd w:val="0"/>
        <w:snapToGrid w:val="0"/>
        <w:spacing w:before="0" w:beforeAutospacing="0" w:after="0" w:afterAutospacing="0" w:line="580" w:lineRule="exact"/>
        <w:ind w:firstLine="643" w:firstLineChars="200"/>
        <w:rPr>
          <w:rFonts w:ascii="仿宋_GB2312" w:hAnsi="仿宋" w:eastAsia="仿宋_GB2312" w:cs="仿宋"/>
          <w:b/>
          <w:sz w:val="32"/>
          <w:szCs w:val="32"/>
        </w:rPr>
      </w:pPr>
      <w:r>
        <w:rPr>
          <w:rFonts w:hint="eastAsia" w:ascii="仿宋_GB2312" w:hAnsi="仿宋" w:eastAsia="仿宋_GB2312" w:cs="仿宋"/>
          <w:b/>
          <w:sz w:val="32"/>
          <w:szCs w:val="32"/>
        </w:rPr>
        <w:t>第一部分 部门概况</w:t>
      </w:r>
    </w:p>
    <w:p>
      <w:pPr>
        <w:pStyle w:val="6"/>
        <w:adjustRightInd w:val="0"/>
        <w:snapToGrid w:val="0"/>
        <w:spacing w:before="0" w:beforeAutospacing="0" w:after="0" w:afterAutospacing="0" w:line="58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1.主要职责</w:t>
      </w:r>
    </w:p>
    <w:p>
      <w:pPr>
        <w:pStyle w:val="6"/>
        <w:adjustRightInd w:val="0"/>
        <w:snapToGrid w:val="0"/>
        <w:spacing w:before="0" w:beforeAutospacing="0" w:after="0" w:afterAutospacing="0" w:line="58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2.部门预算单位构成</w:t>
      </w:r>
    </w:p>
    <w:p>
      <w:pPr>
        <w:pStyle w:val="6"/>
        <w:adjustRightInd w:val="0"/>
        <w:snapToGrid w:val="0"/>
        <w:spacing w:before="0" w:beforeAutospacing="0" w:after="0" w:afterAutospacing="0" w:line="58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3.2023年度主要工作任务</w:t>
      </w:r>
    </w:p>
    <w:p>
      <w:pPr>
        <w:pStyle w:val="6"/>
        <w:adjustRightInd w:val="0"/>
        <w:snapToGrid w:val="0"/>
        <w:spacing w:before="0" w:beforeAutospacing="0" w:after="0" w:afterAutospacing="0" w:line="580" w:lineRule="exact"/>
        <w:ind w:firstLine="643" w:firstLineChars="200"/>
        <w:rPr>
          <w:rFonts w:ascii="仿宋_GB2312" w:hAnsi="仿宋" w:eastAsia="仿宋_GB2312" w:cs="仿宋"/>
          <w:b/>
          <w:sz w:val="32"/>
          <w:szCs w:val="32"/>
        </w:rPr>
      </w:pPr>
      <w:r>
        <w:rPr>
          <w:rFonts w:hint="eastAsia" w:ascii="仿宋_GB2312" w:hAnsi="仿宋" w:eastAsia="仿宋_GB2312" w:cs="仿宋"/>
          <w:b/>
          <w:sz w:val="32"/>
          <w:szCs w:val="32"/>
        </w:rPr>
        <w:t>第二部分 2023年部门预算表</w:t>
      </w:r>
    </w:p>
    <w:p>
      <w:pPr>
        <w:pStyle w:val="6"/>
        <w:adjustRightInd w:val="0"/>
        <w:snapToGrid w:val="0"/>
        <w:spacing w:before="0" w:beforeAutospacing="0" w:after="0" w:afterAutospacing="0" w:line="580" w:lineRule="exact"/>
        <w:ind w:firstLine="640" w:firstLineChars="200"/>
        <w:outlineLvl w:val="0"/>
        <w:rPr>
          <w:rFonts w:ascii="仿宋_GB2312" w:hAnsi="仿宋" w:eastAsia="仿宋_GB2312" w:cs="仿宋"/>
          <w:bCs/>
          <w:sz w:val="32"/>
          <w:szCs w:val="32"/>
        </w:rPr>
      </w:pPr>
      <w:r>
        <w:rPr>
          <w:rFonts w:hint="eastAsia" w:ascii="仿宋_GB2312" w:hAnsi="仿宋" w:eastAsia="仿宋_GB2312" w:cs="仿宋"/>
          <w:bCs/>
          <w:sz w:val="32"/>
          <w:szCs w:val="32"/>
        </w:rPr>
        <w:t>1.2023年财政拨款收支预算总表</w:t>
      </w:r>
    </w:p>
    <w:p>
      <w:pPr>
        <w:pStyle w:val="6"/>
        <w:adjustRightInd w:val="0"/>
        <w:snapToGrid w:val="0"/>
        <w:spacing w:before="0" w:beforeAutospacing="0" w:after="0" w:afterAutospacing="0" w:line="58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2.2023年一般公共预算支出预算表</w:t>
      </w:r>
    </w:p>
    <w:p>
      <w:pPr>
        <w:pStyle w:val="6"/>
        <w:adjustRightInd w:val="0"/>
        <w:snapToGrid w:val="0"/>
        <w:spacing w:before="0" w:beforeAutospacing="0" w:after="0" w:afterAutospacing="0" w:line="580" w:lineRule="exact"/>
        <w:ind w:firstLine="640" w:firstLineChars="200"/>
        <w:outlineLvl w:val="0"/>
        <w:rPr>
          <w:rFonts w:ascii="仿宋_GB2312" w:hAnsi="仿宋" w:eastAsia="仿宋_GB2312" w:cs="仿宋"/>
          <w:bCs/>
          <w:sz w:val="32"/>
          <w:szCs w:val="32"/>
        </w:rPr>
      </w:pPr>
      <w:r>
        <w:rPr>
          <w:rFonts w:hint="eastAsia" w:ascii="仿宋_GB2312" w:hAnsi="仿宋" w:eastAsia="仿宋_GB2312" w:cs="仿宋"/>
          <w:bCs/>
          <w:sz w:val="32"/>
          <w:szCs w:val="32"/>
        </w:rPr>
        <w:t>3.2023年一般公共预算基本支出预算表</w:t>
      </w:r>
    </w:p>
    <w:p>
      <w:pPr>
        <w:pStyle w:val="6"/>
        <w:adjustRightInd w:val="0"/>
        <w:snapToGrid w:val="0"/>
        <w:spacing w:before="0" w:beforeAutospacing="0" w:after="0" w:afterAutospacing="0" w:line="58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4.2023年政府性基金预算收支预算表</w:t>
      </w:r>
    </w:p>
    <w:p>
      <w:pPr>
        <w:pStyle w:val="6"/>
        <w:adjustRightInd w:val="0"/>
        <w:snapToGrid w:val="0"/>
        <w:spacing w:before="0" w:beforeAutospacing="0" w:after="0" w:afterAutospacing="0" w:line="580" w:lineRule="exact"/>
        <w:ind w:firstLine="640" w:firstLineChars="200"/>
        <w:outlineLvl w:val="0"/>
        <w:rPr>
          <w:rFonts w:ascii="仿宋_GB2312" w:hAnsi="仿宋" w:eastAsia="仿宋_GB2312" w:cs="仿宋"/>
          <w:bCs/>
          <w:sz w:val="32"/>
          <w:szCs w:val="32"/>
        </w:rPr>
      </w:pPr>
      <w:r>
        <w:rPr>
          <w:rFonts w:hint="eastAsia" w:ascii="仿宋_GB2312" w:hAnsi="仿宋" w:eastAsia="仿宋_GB2312" w:cs="仿宋"/>
          <w:bCs/>
          <w:sz w:val="32"/>
          <w:szCs w:val="32"/>
        </w:rPr>
        <w:t>5.2023年国有资本经营预算收支预算表</w:t>
      </w:r>
    </w:p>
    <w:p>
      <w:pPr>
        <w:pStyle w:val="6"/>
        <w:adjustRightInd w:val="0"/>
        <w:snapToGrid w:val="0"/>
        <w:spacing w:before="0" w:beforeAutospacing="0" w:after="0" w:afterAutospacing="0" w:line="58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6.2023年收支预算总表</w:t>
      </w:r>
    </w:p>
    <w:p>
      <w:pPr>
        <w:pStyle w:val="6"/>
        <w:adjustRightInd w:val="0"/>
        <w:snapToGrid w:val="0"/>
        <w:spacing w:before="0" w:beforeAutospacing="0" w:after="0" w:afterAutospacing="0" w:line="58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7.2023年收入预算总表</w:t>
      </w:r>
    </w:p>
    <w:p>
      <w:pPr>
        <w:pStyle w:val="6"/>
        <w:adjustRightInd w:val="0"/>
        <w:snapToGrid w:val="0"/>
        <w:spacing w:before="0" w:beforeAutospacing="0" w:after="0" w:afterAutospacing="0" w:line="58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8.2023年支出预算总表</w:t>
      </w:r>
    </w:p>
    <w:p>
      <w:pPr>
        <w:pStyle w:val="6"/>
        <w:adjustRightInd w:val="0"/>
        <w:snapToGrid w:val="0"/>
        <w:spacing w:before="0" w:beforeAutospacing="0" w:after="0" w:afterAutospacing="0" w:line="58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9. 2023年项目支出表(不含涉密项目)</w:t>
      </w:r>
    </w:p>
    <w:p>
      <w:pPr>
        <w:pStyle w:val="6"/>
        <w:adjustRightInd w:val="0"/>
        <w:snapToGrid w:val="0"/>
        <w:spacing w:before="0" w:beforeAutospacing="0" w:after="0" w:afterAutospacing="0" w:line="58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10. 2023年政府采购支出表</w:t>
      </w:r>
    </w:p>
    <w:p>
      <w:pPr>
        <w:pStyle w:val="6"/>
        <w:adjustRightInd w:val="0"/>
        <w:snapToGrid w:val="0"/>
        <w:spacing w:before="0" w:beforeAutospacing="0" w:after="0" w:afterAutospacing="0" w:line="58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11. 2023年政府购买服务支出表</w:t>
      </w:r>
    </w:p>
    <w:p>
      <w:pPr>
        <w:pStyle w:val="6"/>
        <w:adjustRightInd w:val="0"/>
        <w:snapToGrid w:val="0"/>
        <w:spacing w:before="0" w:beforeAutospacing="0" w:after="0" w:afterAutospacing="0" w:line="580" w:lineRule="exact"/>
        <w:ind w:firstLine="643" w:firstLineChars="200"/>
        <w:rPr>
          <w:rFonts w:ascii="仿宋_GB2312" w:hAnsi="仿宋" w:eastAsia="仿宋_GB2312" w:cs="仿宋"/>
          <w:b/>
          <w:sz w:val="32"/>
          <w:szCs w:val="32"/>
        </w:rPr>
      </w:pPr>
      <w:r>
        <w:rPr>
          <w:rFonts w:hint="eastAsia" w:ascii="仿宋_GB2312" w:hAnsi="仿宋" w:eastAsia="仿宋_GB2312" w:cs="仿宋"/>
          <w:b/>
          <w:sz w:val="32"/>
          <w:szCs w:val="32"/>
        </w:rPr>
        <w:t>第三部分 2023年部门预算情况说明</w:t>
      </w:r>
    </w:p>
    <w:p>
      <w:pPr>
        <w:pStyle w:val="6"/>
        <w:adjustRightInd w:val="0"/>
        <w:snapToGrid w:val="0"/>
        <w:spacing w:before="0" w:beforeAutospacing="0" w:after="0" w:afterAutospacing="0" w:line="580" w:lineRule="exact"/>
        <w:ind w:firstLine="640" w:firstLineChars="200"/>
        <w:outlineLvl w:val="0"/>
        <w:rPr>
          <w:rFonts w:ascii="仿宋_GB2312" w:hAnsi="仿宋" w:eastAsia="仿宋_GB2312" w:cs="仿宋"/>
          <w:bCs/>
          <w:sz w:val="32"/>
          <w:szCs w:val="32"/>
        </w:rPr>
      </w:pPr>
      <w:r>
        <w:rPr>
          <w:rFonts w:hint="eastAsia" w:ascii="仿宋_GB2312" w:hAnsi="仿宋" w:eastAsia="仿宋_GB2312" w:cs="仿宋"/>
          <w:bCs/>
          <w:sz w:val="32"/>
          <w:szCs w:val="32"/>
        </w:rPr>
        <w:t>1.关于2023年财政拨款收支预算总体情况说明</w:t>
      </w:r>
    </w:p>
    <w:p>
      <w:pPr>
        <w:pStyle w:val="6"/>
        <w:adjustRightInd w:val="0"/>
        <w:snapToGrid w:val="0"/>
        <w:spacing w:before="0" w:beforeAutospacing="0" w:after="0" w:afterAutospacing="0" w:line="58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2.关于2023年一般公共预算财政拨款情况说明</w:t>
      </w:r>
    </w:p>
    <w:p>
      <w:pPr>
        <w:pStyle w:val="6"/>
        <w:adjustRightInd w:val="0"/>
        <w:snapToGrid w:val="0"/>
        <w:spacing w:before="0" w:beforeAutospacing="0" w:after="0" w:afterAutospacing="0" w:line="580" w:lineRule="exact"/>
        <w:ind w:firstLine="640" w:firstLineChars="200"/>
        <w:outlineLvl w:val="0"/>
        <w:rPr>
          <w:rFonts w:ascii="仿宋_GB2312" w:hAnsi="仿宋" w:eastAsia="仿宋_GB2312" w:cs="仿宋"/>
          <w:bCs/>
          <w:sz w:val="32"/>
          <w:szCs w:val="32"/>
        </w:rPr>
      </w:pPr>
      <w:r>
        <w:rPr>
          <w:rFonts w:hint="eastAsia" w:ascii="仿宋_GB2312" w:hAnsi="仿宋" w:eastAsia="仿宋_GB2312" w:cs="仿宋"/>
          <w:bCs/>
          <w:sz w:val="32"/>
          <w:szCs w:val="32"/>
        </w:rPr>
        <w:t>3.关于2023年一般公共预算基本支出情况说明</w:t>
      </w:r>
    </w:p>
    <w:p>
      <w:pPr>
        <w:pStyle w:val="6"/>
        <w:adjustRightInd w:val="0"/>
        <w:snapToGrid w:val="0"/>
        <w:spacing w:before="0" w:beforeAutospacing="0" w:after="0" w:afterAutospacing="0" w:line="58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4.关于2023年政府性基金预算拨款情况说明</w:t>
      </w:r>
    </w:p>
    <w:p>
      <w:pPr>
        <w:pStyle w:val="6"/>
        <w:adjustRightInd w:val="0"/>
        <w:snapToGrid w:val="0"/>
        <w:spacing w:before="0" w:beforeAutospacing="0" w:after="0" w:afterAutospacing="0" w:line="580" w:lineRule="exact"/>
        <w:ind w:firstLine="640" w:firstLineChars="200"/>
        <w:outlineLvl w:val="0"/>
        <w:rPr>
          <w:rFonts w:ascii="仿宋_GB2312" w:hAnsi="仿宋" w:eastAsia="仿宋_GB2312" w:cs="仿宋"/>
          <w:bCs/>
          <w:sz w:val="32"/>
          <w:szCs w:val="32"/>
        </w:rPr>
      </w:pPr>
      <w:r>
        <w:rPr>
          <w:rFonts w:hint="eastAsia" w:ascii="仿宋_GB2312" w:hAnsi="仿宋" w:eastAsia="仿宋_GB2312" w:cs="仿宋"/>
          <w:bCs/>
          <w:sz w:val="32"/>
          <w:szCs w:val="32"/>
        </w:rPr>
        <w:t>5.关于2023年国有资本经营预算拨款情况说明</w:t>
      </w:r>
    </w:p>
    <w:p>
      <w:pPr>
        <w:pStyle w:val="6"/>
        <w:adjustRightInd w:val="0"/>
        <w:snapToGrid w:val="0"/>
        <w:spacing w:before="0" w:beforeAutospacing="0" w:after="0" w:afterAutospacing="0" w:line="58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6.关于2023年收支预算总体情况说明</w:t>
      </w:r>
    </w:p>
    <w:p>
      <w:pPr>
        <w:pStyle w:val="6"/>
        <w:adjustRightInd w:val="0"/>
        <w:snapToGrid w:val="0"/>
        <w:spacing w:before="0" w:beforeAutospacing="0" w:after="0" w:afterAutospacing="0" w:line="58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7.关于2023年收入预算情况说明</w:t>
      </w:r>
    </w:p>
    <w:p>
      <w:pPr>
        <w:pStyle w:val="6"/>
        <w:adjustRightInd w:val="0"/>
        <w:snapToGrid w:val="0"/>
        <w:spacing w:before="0" w:beforeAutospacing="0" w:after="0" w:afterAutospacing="0" w:line="58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8.关于2023年支出预算情况说明</w:t>
      </w:r>
    </w:p>
    <w:p>
      <w:pPr>
        <w:pStyle w:val="6"/>
        <w:adjustRightInd w:val="0"/>
        <w:snapToGrid w:val="0"/>
        <w:spacing w:before="0" w:beforeAutospacing="0" w:after="0" w:afterAutospacing="0" w:line="58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9.其他重要事项情况说明</w:t>
      </w:r>
    </w:p>
    <w:p>
      <w:pPr>
        <w:pStyle w:val="6"/>
        <w:adjustRightInd w:val="0"/>
        <w:snapToGrid w:val="0"/>
        <w:spacing w:before="0" w:beforeAutospacing="0" w:after="0" w:afterAutospacing="0" w:line="580" w:lineRule="exact"/>
        <w:ind w:firstLine="643" w:firstLineChars="200"/>
        <w:rPr>
          <w:rFonts w:ascii="仿宋_GB2312" w:hAnsi="仿宋" w:eastAsia="仿宋_GB2312" w:cs="仿宋"/>
          <w:b/>
          <w:sz w:val="32"/>
          <w:szCs w:val="32"/>
        </w:rPr>
      </w:pPr>
      <w:r>
        <w:rPr>
          <w:rFonts w:hint="eastAsia" w:ascii="仿宋_GB2312" w:hAnsi="仿宋" w:eastAsia="仿宋_GB2312" w:cs="仿宋"/>
          <w:b/>
          <w:sz w:val="32"/>
          <w:szCs w:val="32"/>
        </w:rPr>
        <w:t>第四部分 名词解释</w:t>
      </w:r>
    </w:p>
    <w:p>
      <w:pPr>
        <w:pStyle w:val="6"/>
        <w:adjustRightInd w:val="0"/>
        <w:snapToGrid w:val="0"/>
        <w:spacing w:before="0" w:beforeAutospacing="0" w:after="0" w:afterAutospacing="0" w:line="580" w:lineRule="exact"/>
        <w:ind w:firstLine="643" w:firstLineChars="200"/>
        <w:rPr>
          <w:rFonts w:ascii="仿宋_GB2312" w:hAnsi="仿宋" w:eastAsia="仿宋_GB2312" w:cs="仿宋"/>
          <w:b/>
          <w:sz w:val="32"/>
          <w:szCs w:val="32"/>
        </w:rPr>
      </w:pPr>
    </w:p>
    <w:p>
      <w:pPr>
        <w:pStyle w:val="6"/>
        <w:adjustRightInd w:val="0"/>
        <w:snapToGrid w:val="0"/>
        <w:spacing w:before="0" w:beforeAutospacing="0" w:after="0" w:afterAutospacing="0" w:line="580" w:lineRule="exact"/>
        <w:jc w:val="center"/>
        <w:rPr>
          <w:rFonts w:ascii="方正小标宋简体" w:hAnsi="方正小标宋简体" w:eastAsia="方正小标宋简体"/>
          <w:bCs/>
          <w:sz w:val="44"/>
          <w:szCs w:val="44"/>
        </w:rPr>
      </w:pPr>
      <w:r>
        <w:rPr>
          <w:rFonts w:hint="eastAsia" w:ascii="方正小标宋简体" w:hAnsi="方正小标宋简体" w:eastAsia="方正小标宋简体"/>
          <w:bCs/>
          <w:sz w:val="44"/>
          <w:szCs w:val="44"/>
        </w:rPr>
        <w:t>第一部分 部门概况</w:t>
      </w:r>
    </w:p>
    <w:p>
      <w:pPr>
        <w:pStyle w:val="6"/>
        <w:adjustRightInd w:val="0"/>
        <w:snapToGrid w:val="0"/>
        <w:spacing w:before="0" w:beforeAutospacing="0" w:after="0" w:afterAutospacing="0" w:line="580" w:lineRule="exact"/>
        <w:ind w:firstLine="627" w:firstLineChars="196"/>
        <w:rPr>
          <w:rFonts w:ascii="黑体" w:hAnsi="黑体" w:eastAsia="黑体"/>
          <w:sz w:val="32"/>
          <w:szCs w:val="32"/>
        </w:rPr>
      </w:pPr>
      <w:r>
        <w:rPr>
          <w:rFonts w:hint="eastAsia" w:ascii="黑体" w:hAnsi="黑体" w:eastAsia="黑体"/>
          <w:bCs/>
          <w:sz w:val="32"/>
          <w:szCs w:val="32"/>
        </w:rPr>
        <w:t>一、主要职责</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1.为“三会”服务，负责组织协调办理人大常委会、主任会交办的事项。</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2.协调人大常委会机关与外部的联系，负责催办人大常委会、主任会交办的有关事项。</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3.办理常委会人事任免事项，负责本机关人事管理。</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4.协调常委会组成人员，各工作委员会和人大代表进行视察、调查和检查。</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5.保持同人大代表的联系，做好人民来信来访工作。</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6.负责办理上级人大常委会委托的其它工作。</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7.负责起草文件，文书处理，收集整理信息。</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8.负责档案、资料管理和机要保密工作。</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9.负责常委会机关行政事务管理和保卫工作。</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10.负责机关老干部工作。</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11.负责机关学习、党建、扶贫攻坚、社会治安综合治理、计划生育、精神文明建设、文体活动等。</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12.办理常委会领导交办的其它事项。</w:t>
      </w:r>
    </w:p>
    <w:p>
      <w:pPr>
        <w:pStyle w:val="6"/>
        <w:adjustRightInd w:val="0"/>
        <w:snapToGrid w:val="0"/>
        <w:spacing w:before="0" w:beforeAutospacing="0" w:after="0" w:afterAutospacing="0" w:line="580" w:lineRule="exact"/>
        <w:ind w:firstLine="627" w:firstLineChars="196"/>
        <w:rPr>
          <w:rFonts w:ascii="仿宋_GB2312" w:eastAsia="仿宋_GB2312"/>
          <w:sz w:val="32"/>
          <w:szCs w:val="32"/>
        </w:rPr>
      </w:pPr>
      <w:r>
        <w:rPr>
          <w:rFonts w:hint="eastAsia" w:ascii="黑体" w:hAnsi="黑体" w:eastAsia="黑体"/>
          <w:bCs/>
          <w:sz w:val="32"/>
          <w:szCs w:val="32"/>
        </w:rPr>
        <w:t>二、部门预算单位构成</w:t>
      </w:r>
    </w:p>
    <w:p>
      <w:pPr>
        <w:pStyle w:val="6"/>
        <w:adjustRightInd w:val="0"/>
        <w:snapToGrid w:val="0"/>
        <w:spacing w:before="0" w:beforeAutospacing="0" w:after="0" w:afterAutospacing="0" w:line="580" w:lineRule="exact"/>
        <w:ind w:firstLine="627" w:firstLineChars="196"/>
        <w:rPr>
          <w:rFonts w:asciiTheme="minorEastAsia" w:hAnsiTheme="minorEastAsia" w:eastAsiaTheme="minorEastAsia"/>
          <w:sz w:val="32"/>
          <w:szCs w:val="32"/>
        </w:rPr>
      </w:pPr>
      <w:r>
        <w:rPr>
          <w:rFonts w:hint="eastAsia" w:asciiTheme="minorEastAsia" w:hAnsiTheme="minorEastAsia" w:eastAsiaTheme="minorEastAsia"/>
          <w:sz w:val="32"/>
          <w:szCs w:val="32"/>
        </w:rPr>
        <w:t>从预算单位构成看，寿县人大办公室2023年度部门预算仅包括本级预算，无其他下属单位预算。纳入部门预算编制范围的单位共1个，具体情况见下表。</w:t>
      </w:r>
    </w:p>
    <w:tbl>
      <w:tblPr>
        <w:tblStyle w:val="7"/>
        <w:tblW w:w="9000" w:type="dxa"/>
        <w:tblInd w:w="288" w:type="dxa"/>
        <w:shd w:val="clear" w:color="auto" w:fill="FFFFFF"/>
        <w:tblLayout w:type="fixed"/>
        <w:tblCellMar>
          <w:top w:w="0" w:type="dxa"/>
          <w:left w:w="0" w:type="dxa"/>
          <w:bottom w:w="0" w:type="dxa"/>
          <w:right w:w="0" w:type="dxa"/>
        </w:tblCellMar>
      </w:tblPr>
      <w:tblGrid>
        <w:gridCol w:w="900"/>
        <w:gridCol w:w="3600"/>
        <w:gridCol w:w="4500"/>
      </w:tblGrid>
      <w:tr>
        <w:tblPrEx>
          <w:shd w:val="clear" w:color="auto" w:fill="FFFFFF"/>
          <w:tblLayout w:type="fixed"/>
          <w:tblCellMar>
            <w:top w:w="0" w:type="dxa"/>
            <w:left w:w="0" w:type="dxa"/>
            <w:bottom w:w="0" w:type="dxa"/>
            <w:right w:w="0" w:type="dxa"/>
          </w:tblCellMar>
        </w:tblPrEx>
        <w:trPr>
          <w:trHeight w:val="643" w:hRule="exact"/>
        </w:trPr>
        <w:tc>
          <w:tcPr>
            <w:tcW w:w="90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adjustRightInd w:val="0"/>
              <w:snapToGrid w:val="0"/>
              <w:spacing w:line="580" w:lineRule="exact"/>
              <w:jc w:val="left"/>
              <w:rPr>
                <w:rFonts w:asciiTheme="minorEastAsia" w:hAnsiTheme="minorEastAsia" w:eastAsiaTheme="minorEastAsia"/>
                <w:sz w:val="32"/>
                <w:szCs w:val="32"/>
              </w:rPr>
            </w:pPr>
            <w:r>
              <w:rPr>
                <w:rFonts w:hint="eastAsia" w:asciiTheme="minorEastAsia" w:hAnsiTheme="minorEastAsia" w:eastAsiaTheme="minorEastAsia"/>
                <w:sz w:val="32"/>
                <w:szCs w:val="32"/>
              </w:rPr>
              <w:t>序号</w:t>
            </w:r>
          </w:p>
        </w:tc>
        <w:tc>
          <w:tcPr>
            <w:tcW w:w="360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adjustRightInd w:val="0"/>
              <w:snapToGrid w:val="0"/>
              <w:spacing w:line="580" w:lineRule="exact"/>
              <w:jc w:val="left"/>
              <w:rPr>
                <w:rFonts w:asciiTheme="minorEastAsia" w:hAnsiTheme="minorEastAsia" w:eastAsiaTheme="minorEastAsia"/>
                <w:sz w:val="32"/>
                <w:szCs w:val="32"/>
              </w:rPr>
            </w:pPr>
            <w:r>
              <w:rPr>
                <w:rFonts w:hint="eastAsia" w:asciiTheme="minorEastAsia" w:hAnsiTheme="minorEastAsia" w:eastAsiaTheme="minorEastAsia"/>
                <w:sz w:val="32"/>
                <w:szCs w:val="32"/>
              </w:rPr>
              <w:t>单位名称</w:t>
            </w:r>
          </w:p>
        </w:tc>
        <w:tc>
          <w:tcPr>
            <w:tcW w:w="4500" w:type="dxa"/>
            <w:tcBorders>
              <w:top w:val="single" w:color="auto" w:sz="8" w:space="0"/>
              <w:left w:val="nil"/>
              <w:bottom w:val="single" w:color="auto" w:sz="8" w:space="0"/>
              <w:right w:val="single" w:color="auto" w:sz="8" w:space="0"/>
            </w:tcBorders>
            <w:shd w:val="clear" w:color="auto" w:fill="FFFFFF"/>
          </w:tcPr>
          <w:p>
            <w:pPr>
              <w:adjustRightInd w:val="0"/>
              <w:snapToGrid w:val="0"/>
              <w:spacing w:line="580" w:lineRule="exact"/>
              <w:jc w:val="left"/>
              <w:rPr>
                <w:rFonts w:asciiTheme="minorEastAsia" w:hAnsiTheme="minorEastAsia" w:eastAsiaTheme="minorEastAsia"/>
                <w:sz w:val="32"/>
                <w:szCs w:val="32"/>
              </w:rPr>
            </w:pPr>
            <w:r>
              <w:rPr>
                <w:rFonts w:hint="eastAsia" w:asciiTheme="minorEastAsia" w:hAnsiTheme="minorEastAsia" w:eastAsiaTheme="minorEastAsia"/>
                <w:sz w:val="32"/>
                <w:szCs w:val="32"/>
              </w:rPr>
              <w:t>单位性质</w:t>
            </w:r>
          </w:p>
        </w:tc>
      </w:tr>
      <w:tr>
        <w:tblPrEx>
          <w:tblLayout w:type="fixed"/>
          <w:tblCellMar>
            <w:top w:w="0" w:type="dxa"/>
            <w:left w:w="0" w:type="dxa"/>
            <w:bottom w:w="0" w:type="dxa"/>
            <w:right w:w="0" w:type="dxa"/>
          </w:tblCellMar>
        </w:tblPrEx>
        <w:trPr>
          <w:trHeight w:val="668" w:hRule="exact"/>
        </w:trPr>
        <w:tc>
          <w:tcPr>
            <w:tcW w:w="90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adjustRightInd w:val="0"/>
              <w:snapToGrid w:val="0"/>
              <w:spacing w:line="580" w:lineRule="exact"/>
              <w:jc w:val="left"/>
              <w:rPr>
                <w:rFonts w:cs="宋体" w:asciiTheme="minorEastAsia" w:hAnsiTheme="minorEastAsia" w:eastAsiaTheme="minorEastAsia"/>
                <w:sz w:val="32"/>
                <w:szCs w:val="32"/>
              </w:rPr>
            </w:pPr>
            <w:r>
              <w:rPr>
                <w:rFonts w:hint="eastAsia" w:asciiTheme="minorEastAsia" w:hAnsiTheme="minorEastAsia" w:eastAsiaTheme="minorEastAsia"/>
                <w:sz w:val="32"/>
                <w:szCs w:val="32"/>
              </w:rPr>
              <w:t>1</w:t>
            </w:r>
          </w:p>
        </w:tc>
        <w:tc>
          <w:tcPr>
            <w:tcW w:w="36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adjustRightInd w:val="0"/>
              <w:snapToGrid w:val="0"/>
              <w:spacing w:line="580" w:lineRule="exact"/>
              <w:jc w:val="left"/>
              <w:rPr>
                <w:rFonts w:asciiTheme="minorEastAsia" w:hAnsiTheme="minorEastAsia" w:eastAsiaTheme="minorEastAsia"/>
                <w:sz w:val="32"/>
                <w:szCs w:val="32"/>
                <w:u w:val="single"/>
              </w:rPr>
            </w:pPr>
            <w:r>
              <w:rPr>
                <w:rFonts w:hint="eastAsia" w:cs="仿宋" w:asciiTheme="minorEastAsia" w:hAnsiTheme="minorEastAsia" w:eastAsiaTheme="minorEastAsia"/>
                <w:bCs/>
                <w:sz w:val="32"/>
                <w:szCs w:val="32"/>
              </w:rPr>
              <w:t>寿县人大办公室</w:t>
            </w:r>
          </w:p>
        </w:tc>
        <w:tc>
          <w:tcPr>
            <w:tcW w:w="4500" w:type="dxa"/>
            <w:tcBorders>
              <w:top w:val="nil"/>
              <w:left w:val="nil"/>
              <w:bottom w:val="single" w:color="auto" w:sz="8" w:space="0"/>
              <w:right w:val="single" w:color="auto" w:sz="8" w:space="0"/>
            </w:tcBorders>
            <w:shd w:val="clear" w:color="auto" w:fill="FFFFFF"/>
          </w:tcPr>
          <w:p>
            <w:pPr>
              <w:adjustRightInd w:val="0"/>
              <w:snapToGrid w:val="0"/>
              <w:spacing w:line="580" w:lineRule="exact"/>
              <w:jc w:val="left"/>
              <w:rPr>
                <w:rFonts w:asciiTheme="minorEastAsia" w:hAnsiTheme="minorEastAsia" w:eastAsiaTheme="minorEastAsia"/>
                <w:sz w:val="32"/>
                <w:szCs w:val="32"/>
                <w:u w:val="single"/>
              </w:rPr>
            </w:pPr>
            <w:r>
              <w:rPr>
                <w:rFonts w:hint="eastAsia" w:cs="仿宋" w:asciiTheme="minorEastAsia" w:hAnsiTheme="minorEastAsia" w:eastAsiaTheme="minorEastAsia"/>
                <w:bCs/>
                <w:sz w:val="32"/>
                <w:szCs w:val="32"/>
              </w:rPr>
              <w:t>行政单位</w:t>
            </w:r>
          </w:p>
        </w:tc>
      </w:tr>
    </w:tbl>
    <w:p>
      <w:pPr>
        <w:pStyle w:val="6"/>
        <w:adjustRightInd w:val="0"/>
        <w:snapToGrid w:val="0"/>
        <w:spacing w:before="0" w:beforeAutospacing="0" w:after="0" w:afterAutospacing="0" w:line="580" w:lineRule="exact"/>
        <w:ind w:firstLine="627" w:firstLineChars="196"/>
        <w:rPr>
          <w:rFonts w:ascii="黑体" w:hAnsi="黑体" w:eastAsia="黑体"/>
          <w:bCs/>
          <w:sz w:val="32"/>
          <w:szCs w:val="32"/>
        </w:rPr>
      </w:pPr>
      <w:r>
        <w:rPr>
          <w:rFonts w:hint="eastAsia" w:ascii="黑体" w:hAnsi="黑体" w:eastAsia="黑体"/>
          <w:bCs/>
          <w:sz w:val="32"/>
          <w:szCs w:val="32"/>
        </w:rPr>
        <w:t>三、2023年度主要工作任务</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一、负责县人民代表大会、县人大常委会等各类重要会议的会务工作；</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二、根据县人大常委会主任会议的决定和安排，负责联络协调各机关、各部门的工作，督办常委会领导交办的重要事项；</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三、负责公文处理、起草机关重要文稿和重要会议的文字材料；牵头负责机关公文处理、档案管理和保密工作；</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四、围绕县人大及其常委会工作职责和实践开展调查研究，为领导决策提供参考；开展人大制度和民主法制建设理论研究；审签《常委会会报》、《寿县人大》内刊、重要宣传稿件；组织开展党委政务信息、人大宣传信息工作，采写宣传信息稿件；参与常委会相关议题的调研；负责上级人大报刊的发行征订工作；</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五、负责牵头起草年度学法计划、筹办法制讲座、人大干部的法制培训等工作，做好县人大及其常委会规范性文件起草文稿合法性审查和报备工作，负责做好政府规范性文件备案审查工作，参与上级人大常委会开展的立法调研、论证等工作，负责拟任命人员法律知识考试和宪法宣誓工作；负责法律、法规的宣传教育工作；</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六、负责主任（党组）会议和常委会会议会议材料筹备、新闻联络发布和会议工作；负责审核常委会及其办公室文电等重要文稿；负责组织</w:t>
      </w:r>
      <w:r>
        <w:rPr>
          <w:rFonts w:hint="eastAsia" w:asciiTheme="minorEastAsia" w:hAnsiTheme="minorEastAsia" w:eastAsiaTheme="minorEastAsia"/>
          <w:sz w:val="32"/>
          <w:szCs w:val="32"/>
          <w:lang w:val="en-US" w:eastAsia="zh-CN"/>
        </w:rPr>
        <w:t>单位</w:t>
      </w:r>
      <w:r>
        <w:rPr>
          <w:rFonts w:hint="eastAsia" w:asciiTheme="minorEastAsia" w:hAnsiTheme="minorEastAsia" w:eastAsiaTheme="minorEastAsia"/>
          <w:sz w:val="32"/>
          <w:szCs w:val="32"/>
        </w:rPr>
        <w:t>学习、研讨交流，牵头筹备常委会党组民主生活会；负责人事编制管理、综合考核等工作；</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七、负责接待群众来信来访，并负责登记、送签、转办；承办领导交办的重要信访案件的催办、跟踪督查；</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八、负责人大网站日常维护，及时更新各栏目信息；做好预算联网监督工作；负责做好与代表的联系沟通，管理代表QQ群、微信群；负责县人大常委会、政府常务会议以及相关活动列席代表的统筹安排；</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九、负责机关内部控制、日常管理、车辆保障、物品采购、资产管理；负责各类会议的会务保障、公务接待；负责草拟各类经费报告并履行报批程序；</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十、负责组织落实全面从严治党要求，加强机关党建和党风廉政建设，落实政治</w:t>
      </w:r>
      <w:bookmarkStart w:id="0" w:name="_GoBack"/>
      <w:bookmarkEnd w:id="0"/>
      <w:r>
        <w:rPr>
          <w:rFonts w:hint="eastAsia" w:asciiTheme="minorEastAsia" w:hAnsiTheme="minorEastAsia" w:eastAsiaTheme="minorEastAsia"/>
          <w:sz w:val="32"/>
          <w:szCs w:val="32"/>
        </w:rPr>
        <w:t>建设、思想建设、组织建设、作风建设、纪律建设、制度建设和反腐败斗争各项要求；严肃党内政治生活，组织开展“三会一课”、组织生活会、民主评议党员；负责组织做好党员发展、日常教育管理工作；负责组织主题教育、警示教育等工作；</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十一、负责落实县委、县政府交办的工作事项；</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十二、负责落实县人大常委会领导交办的工作事项。</w:t>
      </w:r>
    </w:p>
    <w:p>
      <w:pPr>
        <w:pStyle w:val="6"/>
        <w:adjustRightInd w:val="0"/>
        <w:snapToGrid w:val="0"/>
        <w:spacing w:before="0" w:beforeAutospacing="0" w:after="0" w:afterAutospacing="0" w:line="580" w:lineRule="exact"/>
        <w:jc w:val="center"/>
        <w:rPr>
          <w:rFonts w:ascii="方正小标宋简体" w:hAnsi="方正小标宋简体" w:eastAsia="方正小标宋简体"/>
          <w:bCs/>
          <w:sz w:val="44"/>
          <w:szCs w:val="44"/>
        </w:rPr>
      </w:pPr>
    </w:p>
    <w:p>
      <w:pPr>
        <w:pStyle w:val="6"/>
        <w:adjustRightInd w:val="0"/>
        <w:snapToGrid w:val="0"/>
        <w:spacing w:before="0" w:beforeAutospacing="0" w:after="0" w:afterAutospacing="0" w:line="580" w:lineRule="exact"/>
        <w:jc w:val="center"/>
        <w:rPr>
          <w:rFonts w:ascii="方正小标宋简体" w:hAnsi="方正小标宋简体" w:eastAsia="方正小标宋简体"/>
          <w:bCs/>
          <w:sz w:val="44"/>
          <w:szCs w:val="44"/>
        </w:rPr>
      </w:pPr>
      <w:r>
        <w:rPr>
          <w:rFonts w:hint="eastAsia" w:ascii="方正小标宋简体" w:hAnsi="方正小标宋简体" w:eastAsia="方正小标宋简体"/>
          <w:bCs/>
          <w:sz w:val="44"/>
          <w:szCs w:val="44"/>
        </w:rPr>
        <w:t>第二部分 2023年部门预算表</w:t>
      </w:r>
    </w:p>
    <w:p>
      <w:pPr>
        <w:pStyle w:val="6"/>
        <w:adjustRightInd w:val="0"/>
        <w:snapToGrid w:val="0"/>
        <w:spacing w:before="0" w:beforeAutospacing="0" w:after="0" w:afterAutospacing="0" w:line="58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1.2023年收支总表</w:t>
      </w:r>
    </w:p>
    <w:p>
      <w:pPr>
        <w:pStyle w:val="6"/>
        <w:adjustRightInd w:val="0"/>
        <w:snapToGrid w:val="0"/>
        <w:spacing w:before="0" w:beforeAutospacing="0" w:after="0" w:afterAutospacing="0" w:line="58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2.2023年收入总表</w:t>
      </w:r>
    </w:p>
    <w:p>
      <w:pPr>
        <w:pStyle w:val="6"/>
        <w:adjustRightInd w:val="0"/>
        <w:snapToGrid w:val="0"/>
        <w:spacing w:before="0" w:beforeAutospacing="0" w:after="0" w:afterAutospacing="0" w:line="58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3.2023年支出总表</w:t>
      </w:r>
    </w:p>
    <w:p>
      <w:pPr>
        <w:pStyle w:val="6"/>
        <w:adjustRightInd w:val="0"/>
        <w:snapToGrid w:val="0"/>
        <w:spacing w:before="0" w:beforeAutospacing="0" w:after="0" w:afterAutospacing="0" w:line="58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4.2023年财政拨款收支总表</w:t>
      </w:r>
    </w:p>
    <w:p>
      <w:pPr>
        <w:pStyle w:val="6"/>
        <w:adjustRightInd w:val="0"/>
        <w:snapToGrid w:val="0"/>
        <w:spacing w:before="0" w:beforeAutospacing="0" w:after="0" w:afterAutospacing="0" w:line="58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5.2023年一般公共预算支出表</w:t>
      </w:r>
    </w:p>
    <w:p>
      <w:pPr>
        <w:pStyle w:val="6"/>
        <w:adjustRightInd w:val="0"/>
        <w:snapToGrid w:val="0"/>
        <w:spacing w:before="0" w:beforeAutospacing="0" w:after="0" w:afterAutospacing="0" w:line="58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6.2023年一般公共预算基本支出表</w:t>
      </w:r>
    </w:p>
    <w:p>
      <w:pPr>
        <w:pStyle w:val="6"/>
        <w:adjustRightInd w:val="0"/>
        <w:snapToGrid w:val="0"/>
        <w:spacing w:before="0" w:beforeAutospacing="0" w:after="0" w:afterAutospacing="0" w:line="58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7.2023年政府性基金预算支出表</w:t>
      </w:r>
    </w:p>
    <w:p>
      <w:pPr>
        <w:pStyle w:val="6"/>
        <w:adjustRightInd w:val="0"/>
        <w:snapToGrid w:val="0"/>
        <w:spacing w:before="0" w:beforeAutospacing="0" w:after="0" w:afterAutospacing="0" w:line="58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8.2023年国有资本经营预算支出预算表</w:t>
      </w:r>
    </w:p>
    <w:p>
      <w:pPr>
        <w:pStyle w:val="6"/>
        <w:adjustRightInd w:val="0"/>
        <w:snapToGrid w:val="0"/>
        <w:spacing w:before="0" w:beforeAutospacing="0" w:after="0" w:afterAutospacing="0" w:line="58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9.2023年项目支出表</w:t>
      </w:r>
    </w:p>
    <w:p>
      <w:pPr>
        <w:pStyle w:val="6"/>
        <w:adjustRightInd w:val="0"/>
        <w:snapToGrid w:val="0"/>
        <w:spacing w:before="0" w:beforeAutospacing="0" w:after="0" w:afterAutospacing="0" w:line="58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10.2023年政府采购支出表</w:t>
      </w:r>
    </w:p>
    <w:p>
      <w:pPr>
        <w:pStyle w:val="6"/>
        <w:adjustRightInd w:val="0"/>
        <w:snapToGrid w:val="0"/>
        <w:spacing w:before="0" w:beforeAutospacing="0" w:after="0" w:afterAutospacing="0" w:line="58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11.2023年政府购买服务支出表</w:t>
      </w:r>
    </w:p>
    <w:p>
      <w:pPr>
        <w:pStyle w:val="6"/>
        <w:adjustRightInd w:val="0"/>
        <w:snapToGrid w:val="0"/>
        <w:spacing w:before="0" w:beforeAutospacing="0" w:after="0" w:afterAutospacing="0" w:line="58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共11张表，具体内容祥见附表</w:t>
      </w:r>
    </w:p>
    <w:p>
      <w:pPr>
        <w:pStyle w:val="6"/>
        <w:adjustRightInd w:val="0"/>
        <w:snapToGrid w:val="0"/>
        <w:spacing w:before="0" w:beforeAutospacing="0" w:after="0" w:afterAutospacing="0" w:line="580" w:lineRule="exact"/>
        <w:ind w:firstLine="787" w:firstLineChars="245"/>
        <w:rPr>
          <w:rFonts w:ascii="仿宋_GB2312" w:hAnsi="黑体" w:eastAsia="仿宋_GB2312"/>
          <w:b/>
          <w:bCs/>
          <w:color w:val="FF0000"/>
          <w:sz w:val="32"/>
          <w:szCs w:val="32"/>
        </w:rPr>
      </w:pPr>
    </w:p>
    <w:p>
      <w:pPr>
        <w:pStyle w:val="6"/>
        <w:adjustRightInd w:val="0"/>
        <w:snapToGrid w:val="0"/>
        <w:spacing w:before="0" w:beforeAutospacing="0" w:after="0" w:afterAutospacing="0" w:line="580" w:lineRule="exact"/>
        <w:jc w:val="center"/>
        <w:rPr>
          <w:rFonts w:ascii="方正小标宋简体" w:hAnsi="方正小标宋简体" w:eastAsia="方正小标宋简体"/>
          <w:bCs/>
          <w:sz w:val="44"/>
          <w:szCs w:val="44"/>
        </w:rPr>
      </w:pPr>
      <w:r>
        <w:rPr>
          <w:rFonts w:hint="eastAsia" w:ascii="方正小标宋简体" w:hAnsi="方正小标宋简体" w:eastAsia="方正小标宋简体"/>
          <w:bCs/>
          <w:sz w:val="44"/>
          <w:szCs w:val="44"/>
        </w:rPr>
        <w:t>第三部分 2023年部门预算情况说明</w:t>
      </w:r>
    </w:p>
    <w:p>
      <w:pPr>
        <w:pStyle w:val="6"/>
        <w:adjustRightInd w:val="0"/>
        <w:snapToGrid w:val="0"/>
        <w:spacing w:before="0" w:beforeAutospacing="0" w:after="0" w:afterAutospacing="0" w:line="580" w:lineRule="exact"/>
        <w:ind w:firstLine="640" w:firstLineChars="200"/>
        <w:rPr>
          <w:rFonts w:ascii="黑体" w:hAnsi="黑体" w:eastAsia="黑体"/>
          <w:bCs/>
          <w:sz w:val="32"/>
          <w:szCs w:val="32"/>
        </w:rPr>
      </w:pPr>
      <w:r>
        <w:rPr>
          <w:rFonts w:hint="eastAsia" w:ascii="黑体" w:hAnsi="黑体" w:eastAsia="黑体"/>
          <w:bCs/>
          <w:sz w:val="32"/>
          <w:szCs w:val="32"/>
        </w:rPr>
        <w:t>一、关于2023年财政拨款收支预算总体情况说明</w:t>
      </w:r>
    </w:p>
    <w:p>
      <w:pPr>
        <w:pStyle w:val="6"/>
        <w:adjustRightInd w:val="0"/>
        <w:snapToGrid w:val="0"/>
        <w:spacing w:before="0" w:beforeAutospacing="0" w:after="0" w:afterAutospacing="0" w:line="580" w:lineRule="exact"/>
        <w:ind w:firstLine="640" w:firstLineChars="200"/>
        <w:rPr>
          <w:rFonts w:cs="Times New Roman" w:asciiTheme="minorEastAsia" w:hAnsiTheme="minorEastAsia" w:eastAsiaTheme="minorEastAsia"/>
          <w:kern w:val="2"/>
          <w:sz w:val="32"/>
          <w:szCs w:val="32"/>
        </w:rPr>
      </w:pPr>
      <w:r>
        <w:rPr>
          <w:rFonts w:hint="eastAsia" w:asciiTheme="minorEastAsia" w:hAnsiTheme="minorEastAsia" w:eastAsiaTheme="minorEastAsia"/>
          <w:sz w:val="32"/>
          <w:szCs w:val="32"/>
        </w:rPr>
        <w:t>寿县人大办公室</w:t>
      </w:r>
      <w:r>
        <w:rPr>
          <w:rFonts w:hint="eastAsia" w:cs="Times New Roman" w:asciiTheme="minorEastAsia" w:hAnsiTheme="minorEastAsia" w:eastAsiaTheme="minorEastAsia"/>
          <w:kern w:val="2"/>
          <w:sz w:val="32"/>
          <w:szCs w:val="32"/>
        </w:rPr>
        <w:t>2023年财政拨款收支预算</w:t>
      </w:r>
      <w:r>
        <w:rPr>
          <w:rFonts w:hint="eastAsia" w:asciiTheme="minorEastAsia" w:hAnsiTheme="minorEastAsia" w:eastAsiaTheme="minorEastAsia"/>
          <w:sz w:val="32"/>
          <w:szCs w:val="32"/>
        </w:rPr>
        <w:t>603.45</w:t>
      </w:r>
      <w:r>
        <w:rPr>
          <w:rFonts w:hint="eastAsia" w:cs="Times New Roman" w:asciiTheme="minorEastAsia" w:hAnsiTheme="minorEastAsia" w:eastAsiaTheme="minorEastAsia"/>
          <w:kern w:val="2"/>
          <w:sz w:val="32"/>
          <w:szCs w:val="32"/>
        </w:rPr>
        <w:t>万元。收入按资金来源分为：一般公共预算拨款603.45万元、政府性基金预算拨款0万元、国有资本经营预算拨款0万元；按资金年度分为：当年财政拨款收入603.45万元，上年结转0万元。支出按功能分类分为：一般公共服务支出499.59万元，占82.79%；社会保障和就业支出52.25万元，占8.66%；卫生健康支出25.48万元，占4.22%；住房保障支出26.13万元，占4.33%。</w:t>
      </w:r>
    </w:p>
    <w:p>
      <w:pPr>
        <w:pStyle w:val="6"/>
        <w:adjustRightInd w:val="0"/>
        <w:snapToGrid w:val="0"/>
        <w:spacing w:before="0" w:beforeAutospacing="0" w:after="0" w:afterAutospacing="0" w:line="580" w:lineRule="exact"/>
        <w:ind w:firstLine="640" w:firstLineChars="200"/>
        <w:rPr>
          <w:rFonts w:ascii="黑体" w:hAnsi="黑体" w:eastAsia="黑体" w:cs="Times New Roman"/>
          <w:kern w:val="2"/>
          <w:sz w:val="32"/>
          <w:szCs w:val="32"/>
        </w:rPr>
      </w:pPr>
      <w:r>
        <w:rPr>
          <w:rFonts w:hint="eastAsia" w:ascii="黑体" w:hAnsi="黑体" w:eastAsia="黑体" w:cs="Times New Roman"/>
          <w:kern w:val="2"/>
          <w:sz w:val="32"/>
          <w:szCs w:val="32"/>
        </w:rPr>
        <w:t>二、关于2023年一般公共预算拨款情况说明</w:t>
      </w:r>
    </w:p>
    <w:p>
      <w:pPr>
        <w:pStyle w:val="6"/>
        <w:adjustRightInd w:val="0"/>
        <w:snapToGrid w:val="0"/>
        <w:spacing w:before="0" w:beforeAutospacing="0" w:after="0" w:afterAutospacing="0" w:line="580" w:lineRule="exact"/>
        <w:ind w:firstLine="630" w:firstLineChars="196"/>
        <w:rPr>
          <w:rFonts w:ascii="仿宋_GB2312" w:hAnsi="仿宋" w:eastAsia="仿宋_GB2312" w:cs="Times New Roman"/>
          <w:b/>
          <w:kern w:val="2"/>
          <w:sz w:val="32"/>
          <w:szCs w:val="32"/>
        </w:rPr>
      </w:pPr>
      <w:r>
        <w:rPr>
          <w:rFonts w:hint="eastAsia" w:ascii="仿宋_GB2312" w:hAnsi="仿宋" w:eastAsia="仿宋_GB2312" w:cs="Times New Roman"/>
          <w:b/>
          <w:kern w:val="2"/>
          <w:sz w:val="32"/>
          <w:szCs w:val="32"/>
        </w:rPr>
        <w:t>（一）一般公共预算拨款规模变化情况</w:t>
      </w:r>
    </w:p>
    <w:p>
      <w:pPr>
        <w:pStyle w:val="6"/>
        <w:widowControl w:val="0"/>
        <w:adjustRightInd w:val="0"/>
        <w:snapToGrid w:val="0"/>
        <w:spacing w:before="0" w:beforeAutospacing="0" w:after="0" w:afterAutospacing="0" w:line="580" w:lineRule="exact"/>
        <w:ind w:firstLine="627" w:firstLineChars="196"/>
        <w:rPr>
          <w:rFonts w:hint="eastAsia" w:asciiTheme="minorEastAsia" w:hAnsiTheme="minorEastAsia" w:eastAsiaTheme="minorEastAsia"/>
          <w:sz w:val="32"/>
          <w:szCs w:val="32"/>
        </w:rPr>
      </w:pPr>
      <w:r>
        <w:rPr>
          <w:rFonts w:hint="eastAsia" w:cs="Times New Roman" w:asciiTheme="minorEastAsia" w:hAnsiTheme="minorEastAsia" w:eastAsiaTheme="minorEastAsia"/>
          <w:kern w:val="2"/>
          <w:sz w:val="32"/>
          <w:szCs w:val="32"/>
        </w:rPr>
        <w:t>寿县人大办公室2023年一般公共预算拨款</w:t>
      </w:r>
      <w:r>
        <w:rPr>
          <w:rFonts w:hint="eastAsia" w:asciiTheme="minorEastAsia" w:hAnsiTheme="minorEastAsia" w:eastAsiaTheme="minorEastAsia"/>
          <w:sz w:val="32"/>
          <w:szCs w:val="32"/>
        </w:rPr>
        <w:t>603.45</w:t>
      </w:r>
      <w:r>
        <w:rPr>
          <w:rFonts w:hint="eastAsia" w:cs="Times New Roman" w:asciiTheme="minorEastAsia" w:hAnsiTheme="minorEastAsia" w:eastAsiaTheme="minorEastAsia"/>
          <w:kern w:val="2"/>
          <w:sz w:val="32"/>
          <w:szCs w:val="32"/>
        </w:rPr>
        <w:t>万元，比2022年预算拨款增加44.56万元，增长7.92%，</w:t>
      </w:r>
      <w:r>
        <w:rPr>
          <w:rFonts w:hint="eastAsia" w:asciiTheme="minorEastAsia" w:hAnsiTheme="minorEastAsia" w:eastAsiaTheme="minorEastAsia"/>
          <w:sz w:val="32"/>
          <w:szCs w:val="32"/>
        </w:rPr>
        <w:t>增长的主要原因是2023年度基础性绩效奖励纳入年初预算。</w:t>
      </w:r>
    </w:p>
    <w:p>
      <w:pPr>
        <w:pStyle w:val="6"/>
        <w:widowControl w:val="0"/>
        <w:adjustRightInd w:val="0"/>
        <w:snapToGrid w:val="0"/>
        <w:spacing w:before="0" w:beforeAutospacing="0" w:after="0" w:afterAutospacing="0" w:line="580" w:lineRule="exact"/>
        <w:ind w:firstLine="630" w:firstLineChars="196"/>
        <w:rPr>
          <w:rFonts w:ascii="仿宋_GB2312" w:hAnsi="仿宋" w:eastAsia="仿宋_GB2312" w:cs="Times New Roman"/>
          <w:b/>
          <w:kern w:val="2"/>
          <w:sz w:val="32"/>
          <w:szCs w:val="32"/>
        </w:rPr>
      </w:pPr>
      <w:r>
        <w:rPr>
          <w:rFonts w:hint="eastAsia" w:ascii="仿宋_GB2312" w:hAnsi="仿宋" w:eastAsia="仿宋_GB2312" w:cs="Times New Roman"/>
          <w:b/>
          <w:kern w:val="2"/>
          <w:sz w:val="32"/>
          <w:szCs w:val="32"/>
        </w:rPr>
        <w:t>（二）一般公共预算拨款结构情况</w:t>
      </w:r>
    </w:p>
    <w:p>
      <w:pPr>
        <w:pStyle w:val="6"/>
        <w:adjustRightInd w:val="0"/>
        <w:snapToGrid w:val="0"/>
        <w:spacing w:before="0" w:beforeAutospacing="0" w:after="0" w:afterAutospacing="0" w:line="580" w:lineRule="exact"/>
        <w:ind w:firstLine="640" w:firstLineChars="200"/>
        <w:rPr>
          <w:rFonts w:cs="Times New Roman" w:asciiTheme="minorEastAsia" w:hAnsiTheme="minorEastAsia" w:eastAsiaTheme="minorEastAsia"/>
          <w:kern w:val="2"/>
          <w:sz w:val="32"/>
          <w:szCs w:val="32"/>
        </w:rPr>
      </w:pPr>
      <w:r>
        <w:rPr>
          <w:rFonts w:hint="eastAsia" w:cs="Times New Roman" w:asciiTheme="minorEastAsia" w:hAnsiTheme="minorEastAsia" w:eastAsiaTheme="minorEastAsia"/>
          <w:kern w:val="2"/>
          <w:sz w:val="32"/>
          <w:szCs w:val="32"/>
        </w:rPr>
        <w:t>一般公共服务支出499.59万元，占82.79%；社会保障和就业支出52.25万元，占8.66%；卫生健康支出25.48万元，占4.22%；住房保障支出26.13万元，占4.33%。</w:t>
      </w:r>
    </w:p>
    <w:p>
      <w:pPr>
        <w:adjustRightInd w:val="0"/>
        <w:snapToGrid w:val="0"/>
        <w:spacing w:line="580" w:lineRule="exact"/>
        <w:ind w:firstLine="643" w:firstLineChars="200"/>
        <w:jc w:val="left"/>
        <w:rPr>
          <w:rFonts w:ascii="仿宋_GB2312" w:hAnsi="仿宋" w:eastAsia="仿宋_GB2312"/>
          <w:b/>
          <w:sz w:val="32"/>
          <w:szCs w:val="32"/>
        </w:rPr>
      </w:pPr>
      <w:r>
        <w:rPr>
          <w:rFonts w:hint="eastAsia" w:ascii="仿宋_GB2312" w:hAnsi="仿宋" w:eastAsia="仿宋_GB2312"/>
          <w:b/>
          <w:sz w:val="32"/>
          <w:szCs w:val="32"/>
        </w:rPr>
        <w:t>（三）一般公共预算拨款具体使用情况</w:t>
      </w:r>
    </w:p>
    <w:p>
      <w:pPr>
        <w:pStyle w:val="6"/>
        <w:widowControl w:val="0"/>
        <w:adjustRightInd w:val="0"/>
        <w:snapToGrid w:val="0"/>
        <w:spacing w:before="0" w:beforeAutospacing="0" w:after="0" w:afterAutospacing="0" w:line="580" w:lineRule="exact"/>
        <w:ind w:firstLine="630" w:firstLineChars="196"/>
        <w:rPr>
          <w:rFonts w:hint="eastAsia" w:asciiTheme="minorEastAsia" w:hAnsiTheme="minorEastAsia" w:eastAsiaTheme="minorEastAsia"/>
          <w:sz w:val="32"/>
          <w:szCs w:val="32"/>
        </w:rPr>
      </w:pPr>
      <w:r>
        <w:rPr>
          <w:rFonts w:hint="eastAsia" w:ascii="仿宋_GB2312" w:hAnsi="仿宋" w:eastAsia="仿宋_GB2312"/>
          <w:b/>
          <w:sz w:val="32"/>
          <w:szCs w:val="32"/>
        </w:rPr>
        <w:t>1.一般公共服务支出（类）人大事务（款）行政运行、人大代表履职能力提升、其他人大事务支出（项）</w:t>
      </w:r>
      <w:r>
        <w:rPr>
          <w:rFonts w:hint="eastAsia" w:asciiTheme="minorEastAsia" w:hAnsiTheme="minorEastAsia" w:eastAsiaTheme="minorEastAsia"/>
          <w:sz w:val="32"/>
          <w:szCs w:val="32"/>
        </w:rPr>
        <w:t>2023年预算499.59万元，比2022年预算增加33.71万元，增长7.23%，增长的主要原因是2023年度基础性绩效奖励纳入年初预算。</w:t>
      </w:r>
    </w:p>
    <w:p>
      <w:pPr>
        <w:pStyle w:val="6"/>
        <w:widowControl w:val="0"/>
        <w:adjustRightInd w:val="0"/>
        <w:snapToGrid w:val="0"/>
        <w:spacing w:before="0" w:beforeAutospacing="0" w:after="0" w:afterAutospacing="0" w:line="580" w:lineRule="exact"/>
        <w:ind w:firstLine="630" w:firstLineChars="196"/>
        <w:rPr>
          <w:rFonts w:asciiTheme="minorEastAsia" w:hAnsiTheme="minorEastAsia" w:eastAsiaTheme="minorEastAsia"/>
          <w:sz w:val="32"/>
          <w:szCs w:val="32"/>
        </w:rPr>
      </w:pPr>
      <w:r>
        <w:rPr>
          <w:rFonts w:hint="eastAsia" w:ascii="仿宋_GB2312" w:hAnsi="仿宋" w:eastAsia="仿宋_GB2312"/>
          <w:b/>
          <w:sz w:val="32"/>
          <w:szCs w:val="32"/>
        </w:rPr>
        <w:t>2.社会保障和就业支出（类）行政事业单位养老支出（款）机关事业单位基本养老保险缴费、机关事业单位职业年金缴费支出（项）</w:t>
      </w:r>
      <w:r>
        <w:rPr>
          <w:rFonts w:hint="eastAsia" w:asciiTheme="minorEastAsia" w:hAnsiTheme="minorEastAsia" w:eastAsiaTheme="minorEastAsia"/>
          <w:sz w:val="32"/>
          <w:szCs w:val="32"/>
        </w:rPr>
        <w:t>2023年预算52.25万元，比2022年预算增加3.14万元，增长6.39%，增长的主要原因是工资增长造成缴费基数增加。</w:t>
      </w:r>
    </w:p>
    <w:p>
      <w:pPr>
        <w:adjustRightInd w:val="0"/>
        <w:snapToGrid w:val="0"/>
        <w:spacing w:line="580" w:lineRule="exact"/>
        <w:ind w:firstLine="643" w:firstLineChars="200"/>
        <w:jc w:val="left"/>
        <w:rPr>
          <w:rFonts w:asciiTheme="minorEastAsia" w:hAnsiTheme="minorEastAsia" w:eastAsiaTheme="minorEastAsia"/>
          <w:sz w:val="32"/>
          <w:szCs w:val="32"/>
        </w:rPr>
      </w:pPr>
      <w:r>
        <w:rPr>
          <w:rFonts w:hint="eastAsia" w:ascii="仿宋_GB2312" w:hAnsi="仿宋" w:eastAsia="仿宋_GB2312"/>
          <w:b/>
          <w:sz w:val="32"/>
          <w:szCs w:val="32"/>
        </w:rPr>
        <w:t xml:space="preserve">3.卫生健康支出（类）行政事业单位医疗（款）行政单位医疗、公务员医疗补助（项） </w:t>
      </w:r>
      <w:r>
        <w:rPr>
          <w:rFonts w:hint="eastAsia" w:asciiTheme="minorEastAsia" w:hAnsiTheme="minorEastAsia" w:eastAsiaTheme="minorEastAsia"/>
          <w:sz w:val="32"/>
          <w:szCs w:val="32"/>
        </w:rPr>
        <w:t>2023年预算25.48万元，比2022年预算增加0.44万元，增长1.76%，增长的主要原因是医保缴费基数调整。</w:t>
      </w:r>
    </w:p>
    <w:p>
      <w:pPr>
        <w:adjustRightInd w:val="0"/>
        <w:snapToGrid w:val="0"/>
        <w:spacing w:line="580" w:lineRule="exact"/>
        <w:ind w:firstLine="643" w:firstLineChars="200"/>
        <w:jc w:val="left"/>
        <w:rPr>
          <w:rFonts w:asciiTheme="minorEastAsia" w:hAnsiTheme="minorEastAsia" w:eastAsiaTheme="minorEastAsia"/>
          <w:sz w:val="32"/>
          <w:szCs w:val="32"/>
        </w:rPr>
      </w:pPr>
      <w:r>
        <w:rPr>
          <w:rFonts w:hint="eastAsia" w:ascii="仿宋_GB2312" w:hAnsi="仿宋" w:eastAsia="仿宋_GB2312"/>
          <w:b/>
          <w:sz w:val="32"/>
          <w:szCs w:val="32"/>
        </w:rPr>
        <w:t>4.住房保障支出（类）住房改革支出（款）住房公积金（项）</w:t>
      </w:r>
      <w:r>
        <w:rPr>
          <w:rFonts w:hint="eastAsia" w:asciiTheme="minorEastAsia" w:hAnsiTheme="minorEastAsia" w:eastAsiaTheme="minorEastAsia"/>
          <w:sz w:val="32"/>
          <w:szCs w:val="32"/>
        </w:rPr>
        <w:t>2023年预算26.13万元，比2022年预算增加7.26万元，增长38.47%，增长的主要原因公积金缴费基数调整。</w:t>
      </w:r>
    </w:p>
    <w:p>
      <w:pPr>
        <w:pStyle w:val="6"/>
        <w:adjustRightInd w:val="0"/>
        <w:snapToGrid w:val="0"/>
        <w:spacing w:before="0" w:beforeAutospacing="0" w:after="0" w:afterAutospacing="0" w:line="580" w:lineRule="exact"/>
        <w:ind w:firstLine="640" w:firstLineChars="200"/>
        <w:rPr>
          <w:rFonts w:ascii="黑体" w:hAnsi="黑体" w:eastAsia="黑体"/>
          <w:sz w:val="32"/>
          <w:szCs w:val="32"/>
        </w:rPr>
      </w:pPr>
      <w:r>
        <w:rPr>
          <w:rFonts w:hint="eastAsia" w:ascii="黑体" w:hAnsi="黑体" w:eastAsia="黑体" w:cs="Times New Roman"/>
          <w:kern w:val="2"/>
          <w:sz w:val="32"/>
          <w:szCs w:val="32"/>
        </w:rPr>
        <w:t>三、关于2023年一般公共预算基本支出情况说明</w:t>
      </w:r>
    </w:p>
    <w:p>
      <w:pPr>
        <w:pStyle w:val="6"/>
        <w:adjustRightInd w:val="0"/>
        <w:snapToGrid w:val="0"/>
        <w:spacing w:before="0" w:beforeAutospacing="0" w:after="0" w:afterAutospacing="0" w:line="580" w:lineRule="exact"/>
        <w:ind w:firstLine="640" w:firstLineChars="200"/>
        <w:rPr>
          <w:rFonts w:hint="eastAsia" w:asciiTheme="minorEastAsia" w:hAnsiTheme="minorEastAsia" w:eastAsiaTheme="minorEastAsia"/>
          <w:sz w:val="32"/>
          <w:szCs w:val="32"/>
        </w:rPr>
      </w:pPr>
      <w:r>
        <w:rPr>
          <w:rFonts w:hint="eastAsia" w:cs="Times New Roman" w:asciiTheme="minorEastAsia" w:hAnsiTheme="minorEastAsia" w:eastAsiaTheme="minorEastAsia"/>
          <w:kern w:val="2"/>
          <w:sz w:val="32"/>
          <w:szCs w:val="32"/>
        </w:rPr>
        <w:t>寿县人大办公室</w:t>
      </w:r>
      <w:r>
        <w:rPr>
          <w:rFonts w:hint="eastAsia" w:asciiTheme="minorEastAsia" w:hAnsiTheme="minorEastAsia" w:eastAsiaTheme="minorEastAsia"/>
          <w:sz w:val="32"/>
          <w:szCs w:val="32"/>
        </w:rPr>
        <w:t>2023年一般公共预算基本支出373.33万元，其中：工资福利支出305.44万元，主要包括：基本工资、津贴补贴、绩效工资、机关事业单位基本养老保险缴费、职业年金缴费、职工基本医疗保险缴费、住房公积金、医疗费、其他工资福利支出等。商品和服务支出51.19万元，主要包括：办公费、印刷费、咨询费、手续费、水费、电费、邮电费、物业管理费、差旅费、维修（护）费、租赁费、会议费、培训费、劳务费、委托业务给、工会经费、福利费、其他交通费、其他商品和服务支出等。对个人和家庭的补助16.7万元，主要包括：离休费、生活补助、救济费、医疗费补助、奖励金、其他对个人和家庭的补助。</w:t>
      </w:r>
    </w:p>
    <w:p>
      <w:pPr>
        <w:pStyle w:val="6"/>
        <w:adjustRightInd w:val="0"/>
        <w:snapToGrid w:val="0"/>
        <w:spacing w:before="0" w:beforeAutospacing="0" w:after="0" w:afterAutospacing="0" w:line="580" w:lineRule="exact"/>
        <w:ind w:firstLine="640" w:firstLineChars="200"/>
        <w:rPr>
          <w:rFonts w:ascii="黑体" w:hAnsi="黑体" w:eastAsia="黑体"/>
          <w:sz w:val="32"/>
          <w:szCs w:val="32"/>
        </w:rPr>
      </w:pPr>
      <w:r>
        <w:rPr>
          <w:rFonts w:hint="eastAsia" w:ascii="黑体" w:hAnsi="黑体" w:eastAsia="黑体"/>
          <w:sz w:val="32"/>
          <w:szCs w:val="32"/>
        </w:rPr>
        <w:t>四、关于2023年政府性基金预算拨款情况说明</w:t>
      </w:r>
    </w:p>
    <w:p>
      <w:pPr>
        <w:pStyle w:val="6"/>
        <w:adjustRightInd w:val="0"/>
        <w:snapToGrid w:val="0"/>
        <w:spacing w:before="0" w:beforeAutospacing="0" w:after="0" w:afterAutospacing="0" w:line="580" w:lineRule="exact"/>
        <w:ind w:firstLine="640" w:firstLineChars="200"/>
        <w:rPr>
          <w:rFonts w:asciiTheme="minorEastAsia" w:hAnsiTheme="minorEastAsia" w:eastAsiaTheme="minorEastAsia"/>
          <w:sz w:val="32"/>
          <w:szCs w:val="32"/>
        </w:rPr>
      </w:pPr>
      <w:r>
        <w:rPr>
          <w:rFonts w:hint="eastAsia" w:cs="Times New Roman" w:asciiTheme="minorEastAsia" w:hAnsiTheme="minorEastAsia" w:eastAsiaTheme="minorEastAsia"/>
          <w:kern w:val="2"/>
          <w:sz w:val="32"/>
          <w:szCs w:val="32"/>
        </w:rPr>
        <w:t>寿县人大办公室</w:t>
      </w:r>
      <w:r>
        <w:rPr>
          <w:rFonts w:hint="eastAsia" w:asciiTheme="minorEastAsia" w:hAnsiTheme="minorEastAsia" w:eastAsiaTheme="minorEastAsia"/>
          <w:sz w:val="32"/>
          <w:szCs w:val="32"/>
        </w:rPr>
        <w:t>2023年没有政府性基金预算拨款收入，也没有使用政府性基金预算拨款安排的支出。</w:t>
      </w:r>
    </w:p>
    <w:p>
      <w:pPr>
        <w:pStyle w:val="6"/>
        <w:adjustRightInd w:val="0"/>
        <w:snapToGrid w:val="0"/>
        <w:spacing w:before="0" w:beforeAutospacing="0" w:after="0" w:afterAutospacing="0" w:line="580" w:lineRule="exact"/>
        <w:ind w:firstLine="640" w:firstLineChars="200"/>
        <w:rPr>
          <w:rFonts w:ascii="黑体" w:hAnsi="黑体" w:eastAsia="黑体"/>
          <w:sz w:val="32"/>
          <w:szCs w:val="32"/>
        </w:rPr>
      </w:pPr>
      <w:r>
        <w:rPr>
          <w:rFonts w:hint="eastAsia" w:ascii="黑体" w:hAnsi="黑体" w:eastAsia="黑体"/>
          <w:sz w:val="32"/>
          <w:szCs w:val="32"/>
        </w:rPr>
        <w:t>五、关于2023年国有资本经营预算拨款情况说明</w:t>
      </w:r>
    </w:p>
    <w:p>
      <w:pPr>
        <w:pStyle w:val="6"/>
        <w:adjustRightInd w:val="0"/>
        <w:snapToGrid w:val="0"/>
        <w:spacing w:before="0" w:beforeAutospacing="0" w:after="0" w:afterAutospacing="0" w:line="580" w:lineRule="exact"/>
        <w:ind w:firstLine="640" w:firstLineChars="200"/>
        <w:rPr>
          <w:rFonts w:asciiTheme="minorEastAsia" w:hAnsiTheme="minorEastAsia" w:eastAsiaTheme="minorEastAsia"/>
          <w:sz w:val="32"/>
          <w:szCs w:val="32"/>
        </w:rPr>
      </w:pPr>
      <w:r>
        <w:rPr>
          <w:rFonts w:hint="eastAsia" w:cs="Times New Roman" w:asciiTheme="minorEastAsia" w:hAnsiTheme="minorEastAsia" w:eastAsiaTheme="minorEastAsia"/>
          <w:kern w:val="2"/>
          <w:sz w:val="32"/>
          <w:szCs w:val="32"/>
        </w:rPr>
        <w:t>寿县人大办公室</w:t>
      </w:r>
      <w:r>
        <w:rPr>
          <w:rFonts w:hint="eastAsia" w:asciiTheme="minorEastAsia" w:hAnsiTheme="minorEastAsia" w:eastAsiaTheme="minorEastAsia"/>
          <w:sz w:val="32"/>
          <w:szCs w:val="32"/>
        </w:rPr>
        <w:t>2023年没有国有资本经营预算拨款收入，也没有使用国有资本经营预算拨款安排的支出。</w:t>
      </w:r>
    </w:p>
    <w:p>
      <w:pPr>
        <w:pStyle w:val="6"/>
        <w:adjustRightInd w:val="0"/>
        <w:snapToGrid w:val="0"/>
        <w:spacing w:before="0" w:beforeAutospacing="0" w:after="0" w:afterAutospacing="0" w:line="580" w:lineRule="exact"/>
        <w:ind w:firstLine="640" w:firstLineChars="200"/>
        <w:rPr>
          <w:rFonts w:ascii="黑体" w:hAnsi="黑体" w:eastAsia="黑体"/>
          <w:sz w:val="32"/>
          <w:szCs w:val="32"/>
        </w:rPr>
      </w:pPr>
      <w:r>
        <w:rPr>
          <w:rFonts w:hint="eastAsia" w:ascii="黑体" w:hAnsi="黑体" w:eastAsia="黑体"/>
          <w:sz w:val="32"/>
          <w:szCs w:val="32"/>
        </w:rPr>
        <w:t>六、关于2023年收支预算总体情况说明</w:t>
      </w:r>
    </w:p>
    <w:p>
      <w:pPr>
        <w:pStyle w:val="6"/>
        <w:adjustRightInd w:val="0"/>
        <w:snapToGrid w:val="0"/>
        <w:spacing w:before="0" w:beforeAutospacing="0" w:after="0" w:afterAutospacing="0" w:line="580" w:lineRule="exact"/>
        <w:ind w:firstLine="627" w:firstLineChars="196"/>
        <w:rPr>
          <w:rFonts w:asciiTheme="minorEastAsia" w:hAnsiTheme="minorEastAsia" w:eastAsiaTheme="minorEastAsia"/>
          <w:sz w:val="32"/>
          <w:szCs w:val="32"/>
        </w:rPr>
      </w:pPr>
      <w:r>
        <w:rPr>
          <w:rFonts w:hint="eastAsia" w:asciiTheme="minorEastAsia" w:hAnsiTheme="minorEastAsia" w:eastAsiaTheme="minorEastAsia"/>
          <w:sz w:val="32"/>
          <w:szCs w:val="32"/>
        </w:rPr>
        <w:t>按照综合预算的原则，</w:t>
      </w:r>
      <w:r>
        <w:rPr>
          <w:rFonts w:hint="eastAsia" w:cs="Times New Roman" w:asciiTheme="minorEastAsia" w:hAnsiTheme="minorEastAsia" w:eastAsiaTheme="minorEastAsia"/>
          <w:kern w:val="2"/>
          <w:sz w:val="32"/>
          <w:szCs w:val="32"/>
        </w:rPr>
        <w:t>寿县人大办公室</w:t>
      </w:r>
      <w:r>
        <w:rPr>
          <w:rFonts w:hint="eastAsia" w:asciiTheme="minorEastAsia" w:hAnsiTheme="minorEastAsia" w:eastAsiaTheme="minorEastAsia"/>
          <w:sz w:val="32"/>
          <w:szCs w:val="32"/>
        </w:rPr>
        <w:t>所有收入和支出均纳入部门预算管理。</w:t>
      </w:r>
      <w:r>
        <w:rPr>
          <w:rFonts w:hint="eastAsia" w:cs="Times New Roman" w:asciiTheme="minorEastAsia" w:hAnsiTheme="minorEastAsia" w:eastAsiaTheme="minorEastAsia"/>
          <w:kern w:val="2"/>
          <w:sz w:val="32"/>
          <w:szCs w:val="32"/>
        </w:rPr>
        <w:t>寿县人大办公室</w:t>
      </w:r>
      <w:r>
        <w:rPr>
          <w:rFonts w:hint="eastAsia" w:asciiTheme="minorEastAsia" w:hAnsiTheme="minorEastAsia" w:eastAsiaTheme="minorEastAsia"/>
          <w:sz w:val="32"/>
          <w:szCs w:val="32"/>
        </w:rPr>
        <w:t>2023年收支总预算603.45万元，收入全部是一般公共预算拨款收入，支出包括：一般公共服务、社会保障和就业支出、卫生健康支出、住房保障支出。</w:t>
      </w:r>
    </w:p>
    <w:p>
      <w:pPr>
        <w:pStyle w:val="6"/>
        <w:adjustRightInd w:val="0"/>
        <w:snapToGrid w:val="0"/>
        <w:spacing w:before="0" w:beforeAutospacing="0" w:after="0" w:afterAutospacing="0" w:line="580" w:lineRule="exact"/>
        <w:ind w:firstLine="627" w:firstLineChars="196"/>
        <w:rPr>
          <w:rFonts w:ascii="黑体" w:hAnsi="黑体" w:eastAsia="黑体"/>
          <w:sz w:val="32"/>
          <w:szCs w:val="32"/>
        </w:rPr>
      </w:pPr>
      <w:r>
        <w:rPr>
          <w:rFonts w:hint="eastAsia" w:ascii="黑体" w:hAnsi="黑体" w:eastAsia="黑体"/>
          <w:sz w:val="32"/>
          <w:szCs w:val="32"/>
        </w:rPr>
        <w:t>七、关于2023年收入预算情况说明</w:t>
      </w:r>
    </w:p>
    <w:p>
      <w:pPr>
        <w:pStyle w:val="6"/>
        <w:widowControl w:val="0"/>
        <w:adjustRightInd w:val="0"/>
        <w:snapToGrid w:val="0"/>
        <w:spacing w:before="0" w:beforeAutospacing="0" w:after="0" w:afterAutospacing="0" w:line="580" w:lineRule="exact"/>
        <w:ind w:firstLine="627" w:firstLineChars="196"/>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寿县人大办公室2023年收入预算603.45万元，其中：一般公共预算拨款收入603.45万元，占100%，</w:t>
      </w:r>
      <w:r>
        <w:rPr>
          <w:rFonts w:hint="eastAsia" w:cs="Times New Roman" w:asciiTheme="minorEastAsia" w:hAnsiTheme="minorEastAsia" w:eastAsiaTheme="minorEastAsia"/>
          <w:kern w:val="2"/>
          <w:sz w:val="32"/>
          <w:szCs w:val="32"/>
        </w:rPr>
        <w:t>比2022年预算收入增加44.56万元，增长7.92%，</w:t>
      </w:r>
      <w:r>
        <w:rPr>
          <w:rFonts w:hint="eastAsia" w:asciiTheme="minorEastAsia" w:hAnsiTheme="minorEastAsia" w:eastAsiaTheme="minorEastAsia"/>
          <w:sz w:val="32"/>
          <w:szCs w:val="32"/>
        </w:rPr>
        <w:t>增长的主要原因是2023年度基础性绩效奖励纳入年初预算。</w:t>
      </w:r>
    </w:p>
    <w:p>
      <w:pPr>
        <w:pStyle w:val="6"/>
        <w:widowControl w:val="0"/>
        <w:adjustRightInd w:val="0"/>
        <w:snapToGrid w:val="0"/>
        <w:spacing w:before="0" w:beforeAutospacing="0" w:after="0" w:afterAutospacing="0" w:line="580" w:lineRule="exact"/>
        <w:ind w:firstLine="627" w:firstLineChars="196"/>
        <w:rPr>
          <w:rFonts w:ascii="黑体" w:hAnsi="黑体" w:eastAsia="黑体"/>
          <w:sz w:val="32"/>
          <w:szCs w:val="32"/>
        </w:rPr>
      </w:pPr>
      <w:r>
        <w:rPr>
          <w:rFonts w:hint="eastAsia" w:ascii="黑体" w:hAnsi="黑体" w:eastAsia="黑体"/>
          <w:sz w:val="32"/>
          <w:szCs w:val="32"/>
        </w:rPr>
        <w:t>八、关于2023年支出预算情况说明</w:t>
      </w:r>
    </w:p>
    <w:p>
      <w:pPr>
        <w:pStyle w:val="6"/>
        <w:widowControl w:val="0"/>
        <w:adjustRightInd w:val="0"/>
        <w:snapToGrid w:val="0"/>
        <w:spacing w:before="0" w:beforeAutospacing="0" w:after="0" w:afterAutospacing="0" w:line="580" w:lineRule="exact"/>
        <w:ind w:firstLine="627" w:firstLineChars="196"/>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寿县人大办公室2023年支出预算603.45万元，</w:t>
      </w:r>
      <w:r>
        <w:rPr>
          <w:rFonts w:hint="eastAsia" w:cs="Times New Roman" w:asciiTheme="minorEastAsia" w:hAnsiTheme="minorEastAsia" w:eastAsiaTheme="minorEastAsia"/>
          <w:kern w:val="2"/>
          <w:sz w:val="32"/>
          <w:szCs w:val="32"/>
        </w:rPr>
        <w:t>比2022年预算支出增加44.56万元，增长7.92%，</w:t>
      </w:r>
      <w:r>
        <w:rPr>
          <w:rFonts w:hint="eastAsia" w:asciiTheme="minorEastAsia" w:hAnsiTheme="minorEastAsia" w:eastAsiaTheme="minorEastAsia"/>
          <w:sz w:val="32"/>
          <w:szCs w:val="32"/>
        </w:rPr>
        <w:t>增长的主要原因是2023年度基础性绩效奖励纳入年初预算。</w:t>
      </w:r>
    </w:p>
    <w:p>
      <w:pPr>
        <w:pStyle w:val="6"/>
        <w:widowControl w:val="0"/>
        <w:adjustRightInd w:val="0"/>
        <w:snapToGrid w:val="0"/>
        <w:spacing w:before="0" w:beforeAutospacing="0" w:after="0" w:afterAutospacing="0" w:line="580" w:lineRule="exact"/>
        <w:ind w:firstLine="627" w:firstLineChars="196"/>
        <w:rPr>
          <w:rFonts w:asciiTheme="minorEastAsia" w:hAnsiTheme="minorEastAsia" w:eastAsiaTheme="minorEastAsia"/>
          <w:sz w:val="32"/>
          <w:szCs w:val="32"/>
        </w:rPr>
      </w:pPr>
      <w:r>
        <w:rPr>
          <w:rFonts w:hint="eastAsia" w:asciiTheme="minorEastAsia" w:hAnsiTheme="minorEastAsia" w:eastAsiaTheme="minorEastAsia"/>
          <w:sz w:val="32"/>
          <w:szCs w:val="32"/>
        </w:rPr>
        <w:t>其中，基本支出373.33万元，占61.87%，主要用于保障机构日常运转、完成日常工作任务等；项目支出230.12万元，占38.13%，主要用于人大事务。</w:t>
      </w:r>
    </w:p>
    <w:p>
      <w:pPr>
        <w:adjustRightInd w:val="0"/>
        <w:snapToGrid w:val="0"/>
        <w:spacing w:line="580" w:lineRule="exact"/>
        <w:ind w:firstLine="640" w:firstLineChars="200"/>
        <w:jc w:val="left"/>
        <w:rPr>
          <w:rFonts w:ascii="黑体" w:hAnsi="黑体" w:eastAsia="黑体"/>
          <w:sz w:val="32"/>
          <w:szCs w:val="32"/>
        </w:rPr>
      </w:pPr>
      <w:r>
        <w:rPr>
          <w:rFonts w:hint="eastAsia" w:ascii="黑体" w:hAnsi="黑体" w:eastAsia="黑体"/>
          <w:sz w:val="32"/>
          <w:szCs w:val="32"/>
        </w:rPr>
        <w:t>九、其他重要事项情况说明</w:t>
      </w:r>
    </w:p>
    <w:p>
      <w:pPr>
        <w:adjustRightInd w:val="0"/>
        <w:snapToGrid w:val="0"/>
        <w:spacing w:line="580" w:lineRule="exact"/>
        <w:ind w:firstLine="643" w:firstLineChars="200"/>
        <w:jc w:val="left"/>
        <w:rPr>
          <w:rFonts w:hint="eastAsia" w:ascii="仿宋_GB2312" w:hAnsi="楷体" w:eastAsia="仿宋_GB2312"/>
          <w:b/>
          <w:sz w:val="32"/>
          <w:szCs w:val="32"/>
        </w:rPr>
      </w:pPr>
      <w:r>
        <w:rPr>
          <w:rFonts w:hint="eastAsia" w:ascii="仿宋_GB2312" w:hAnsi="楷体" w:eastAsia="仿宋_GB2312"/>
          <w:b/>
          <w:sz w:val="32"/>
          <w:szCs w:val="32"/>
        </w:rPr>
        <w:t>（一）项目及绩效目标情况</w:t>
      </w:r>
    </w:p>
    <w:p>
      <w:pPr>
        <w:adjustRightInd w:val="0"/>
        <w:snapToGrid w:val="0"/>
        <w:spacing w:line="580" w:lineRule="exact"/>
        <w:ind w:firstLine="640" w:firstLineChars="200"/>
        <w:jc w:val="left"/>
        <w:rPr>
          <w:rFonts w:asciiTheme="minorEastAsia" w:hAnsiTheme="minorEastAsia" w:eastAsiaTheme="minorEastAsia"/>
          <w:color w:val="FF0000"/>
          <w:sz w:val="32"/>
          <w:szCs w:val="32"/>
        </w:rPr>
      </w:pPr>
      <w:r>
        <w:rPr>
          <w:rFonts w:hint="eastAsia" w:asciiTheme="minorEastAsia" w:hAnsiTheme="minorEastAsia" w:eastAsiaTheme="minorEastAsia"/>
          <w:sz w:val="32"/>
          <w:szCs w:val="32"/>
        </w:rPr>
        <w:t>寿县人大办公室无需要说明的重点项目。</w:t>
      </w:r>
    </w:p>
    <w:p>
      <w:pPr>
        <w:adjustRightInd w:val="0"/>
        <w:snapToGrid w:val="0"/>
        <w:spacing w:line="580" w:lineRule="exact"/>
        <w:ind w:firstLine="643" w:firstLineChars="200"/>
        <w:jc w:val="left"/>
        <w:rPr>
          <w:rFonts w:ascii="仿宋_GB2312" w:hAnsi="楷体" w:eastAsia="仿宋_GB2312"/>
          <w:b/>
          <w:sz w:val="32"/>
          <w:szCs w:val="32"/>
        </w:rPr>
      </w:pPr>
      <w:r>
        <w:rPr>
          <w:rFonts w:hint="eastAsia" w:ascii="仿宋_GB2312" w:hAnsi="楷体" w:eastAsia="仿宋_GB2312"/>
          <w:b/>
          <w:sz w:val="32"/>
          <w:szCs w:val="32"/>
        </w:rPr>
        <w:t>（二）机关运行经费。</w:t>
      </w:r>
    </w:p>
    <w:p>
      <w:pPr>
        <w:adjustRightInd w:val="0"/>
        <w:snapToGrid w:val="0"/>
        <w:spacing w:line="580" w:lineRule="exact"/>
        <w:ind w:firstLine="640" w:firstLineChars="200"/>
        <w:jc w:val="left"/>
        <w:rPr>
          <w:rFonts w:asciiTheme="minorEastAsia" w:hAnsiTheme="minorEastAsia" w:eastAsiaTheme="minorEastAsia"/>
          <w:sz w:val="32"/>
          <w:szCs w:val="32"/>
        </w:rPr>
      </w:pPr>
      <w:r>
        <w:rPr>
          <w:rFonts w:hint="eastAsia" w:cs="宋体" w:asciiTheme="minorEastAsia" w:hAnsiTheme="minorEastAsia" w:eastAsiaTheme="minorEastAsia"/>
          <w:kern w:val="0"/>
          <w:sz w:val="32"/>
          <w:szCs w:val="32"/>
        </w:rPr>
        <w:t>寿县人大办公室</w:t>
      </w:r>
      <w:r>
        <w:rPr>
          <w:rFonts w:hint="eastAsia" w:asciiTheme="minorEastAsia" w:hAnsiTheme="minorEastAsia" w:eastAsiaTheme="minorEastAsia"/>
          <w:sz w:val="32"/>
          <w:szCs w:val="32"/>
        </w:rPr>
        <w:t>2023年机关运行经费财政拨款预算281.31万元，比2022年预算减少23.86万元，下降7.82%，下降原因主要是厉行节约、压缩开支。</w:t>
      </w:r>
    </w:p>
    <w:p>
      <w:pPr>
        <w:adjustRightInd w:val="0"/>
        <w:snapToGrid w:val="0"/>
        <w:spacing w:line="580" w:lineRule="exact"/>
        <w:ind w:firstLine="643" w:firstLineChars="200"/>
        <w:jc w:val="left"/>
        <w:rPr>
          <w:rFonts w:ascii="仿宋_GB2312" w:hAnsi="楷体" w:eastAsia="仿宋_GB2312"/>
          <w:b/>
          <w:sz w:val="32"/>
          <w:szCs w:val="32"/>
        </w:rPr>
      </w:pPr>
      <w:r>
        <w:rPr>
          <w:rFonts w:hint="eastAsia" w:ascii="仿宋_GB2312" w:hAnsi="楷体" w:eastAsia="仿宋_GB2312"/>
          <w:b/>
          <w:sz w:val="32"/>
          <w:szCs w:val="32"/>
        </w:rPr>
        <w:t>（三）政府采购情况。</w:t>
      </w:r>
    </w:p>
    <w:p>
      <w:pPr>
        <w:adjustRightInd w:val="0"/>
        <w:snapToGrid w:val="0"/>
        <w:spacing w:line="580" w:lineRule="exact"/>
        <w:ind w:firstLine="640" w:firstLineChars="200"/>
        <w:jc w:val="left"/>
        <w:rPr>
          <w:rFonts w:asciiTheme="minorEastAsia" w:hAnsiTheme="minorEastAsia" w:eastAsiaTheme="minorEastAsia"/>
          <w:sz w:val="32"/>
          <w:szCs w:val="32"/>
        </w:rPr>
      </w:pPr>
      <w:r>
        <w:rPr>
          <w:rFonts w:hint="eastAsia" w:asciiTheme="minorEastAsia" w:hAnsiTheme="minorEastAsia" w:eastAsiaTheme="minorEastAsia"/>
          <w:sz w:val="32"/>
          <w:szCs w:val="32"/>
        </w:rPr>
        <w:t>寿县人大办公室2023年政府采购预算总额1.94万元。其中：政府采购货物预算1.94万元。</w:t>
      </w:r>
    </w:p>
    <w:p>
      <w:pPr>
        <w:adjustRightInd w:val="0"/>
        <w:snapToGrid w:val="0"/>
        <w:spacing w:line="580" w:lineRule="exact"/>
        <w:ind w:firstLine="643" w:firstLineChars="200"/>
        <w:jc w:val="left"/>
        <w:rPr>
          <w:rFonts w:ascii="仿宋_GB2312" w:hAnsi="楷体" w:eastAsia="仿宋_GB2312"/>
          <w:b/>
          <w:sz w:val="32"/>
          <w:szCs w:val="32"/>
        </w:rPr>
      </w:pPr>
      <w:r>
        <w:rPr>
          <w:rFonts w:hint="eastAsia" w:ascii="仿宋_GB2312" w:hAnsi="楷体" w:eastAsia="仿宋_GB2312"/>
          <w:b/>
          <w:sz w:val="32"/>
          <w:szCs w:val="32"/>
        </w:rPr>
        <w:t>（四）政府购买服务情况。</w:t>
      </w:r>
    </w:p>
    <w:p>
      <w:pPr>
        <w:adjustRightInd w:val="0"/>
        <w:snapToGrid w:val="0"/>
        <w:spacing w:line="580" w:lineRule="exact"/>
        <w:ind w:firstLine="640" w:firstLineChars="200"/>
        <w:jc w:val="left"/>
        <w:rPr>
          <w:rFonts w:asciiTheme="minorEastAsia" w:hAnsiTheme="minorEastAsia" w:eastAsiaTheme="minorEastAsia"/>
          <w:color w:val="FF0000"/>
          <w:sz w:val="32"/>
          <w:szCs w:val="32"/>
        </w:rPr>
      </w:pPr>
      <w:r>
        <w:rPr>
          <w:rFonts w:hint="eastAsia" w:asciiTheme="minorEastAsia" w:hAnsiTheme="minorEastAsia" w:eastAsiaTheme="minorEastAsia"/>
          <w:sz w:val="32"/>
          <w:szCs w:val="32"/>
        </w:rPr>
        <w:t>寿县人大办公室2023年无政府购买服务预算。</w:t>
      </w:r>
    </w:p>
    <w:p>
      <w:pPr>
        <w:adjustRightInd w:val="0"/>
        <w:snapToGrid w:val="0"/>
        <w:spacing w:line="580" w:lineRule="exact"/>
        <w:ind w:firstLine="643" w:firstLineChars="200"/>
        <w:jc w:val="left"/>
        <w:rPr>
          <w:rFonts w:ascii="仿宋_GB2312" w:hAnsi="楷体" w:eastAsia="仿宋_GB2312"/>
          <w:b/>
          <w:sz w:val="32"/>
          <w:szCs w:val="32"/>
        </w:rPr>
      </w:pPr>
      <w:r>
        <w:rPr>
          <w:rFonts w:hint="eastAsia" w:ascii="仿宋_GB2312" w:hAnsi="楷体" w:eastAsia="仿宋_GB2312"/>
          <w:b/>
          <w:sz w:val="32"/>
          <w:szCs w:val="32"/>
        </w:rPr>
        <w:t>（五）国有资产占有使用情况。</w:t>
      </w:r>
    </w:p>
    <w:p>
      <w:pPr>
        <w:adjustRightInd w:val="0"/>
        <w:snapToGrid w:val="0"/>
        <w:spacing w:line="580" w:lineRule="exact"/>
        <w:ind w:firstLine="640" w:firstLineChars="200"/>
        <w:jc w:val="left"/>
        <w:rPr>
          <w:rFonts w:asciiTheme="minorEastAsia" w:hAnsiTheme="minorEastAsia" w:eastAsiaTheme="minorEastAsia"/>
          <w:color w:val="3366FF"/>
          <w:sz w:val="32"/>
          <w:szCs w:val="32"/>
        </w:rPr>
      </w:pPr>
      <w:r>
        <w:rPr>
          <w:rFonts w:hint="eastAsia" w:asciiTheme="minorEastAsia" w:hAnsiTheme="minorEastAsia" w:eastAsiaTheme="minorEastAsia"/>
          <w:sz w:val="32"/>
          <w:szCs w:val="32"/>
        </w:rPr>
        <w:t>截至2022年12月31日，</w:t>
      </w:r>
      <w:r>
        <w:rPr>
          <w:rFonts w:hint="eastAsia" w:cs="宋体" w:asciiTheme="minorEastAsia" w:hAnsiTheme="minorEastAsia" w:eastAsiaTheme="minorEastAsia"/>
          <w:kern w:val="0"/>
          <w:sz w:val="32"/>
          <w:szCs w:val="32"/>
        </w:rPr>
        <w:t>寿县人大办公室</w:t>
      </w:r>
      <w:r>
        <w:rPr>
          <w:rFonts w:hint="eastAsia" w:asciiTheme="minorEastAsia" w:hAnsiTheme="minorEastAsia" w:eastAsiaTheme="minorEastAsia"/>
          <w:sz w:val="32"/>
          <w:szCs w:val="32"/>
        </w:rPr>
        <w:t>共有车辆0辆；单位价值50万元以上的通用设备0台（套）；单位价值100万元以上的专用设备0台（套）。</w:t>
      </w:r>
    </w:p>
    <w:p>
      <w:pPr>
        <w:adjustRightInd w:val="0"/>
        <w:snapToGrid w:val="0"/>
        <w:spacing w:line="580" w:lineRule="exact"/>
        <w:ind w:firstLine="640" w:firstLineChars="200"/>
        <w:jc w:val="left"/>
        <w:rPr>
          <w:rFonts w:asciiTheme="minorEastAsia" w:hAnsiTheme="minorEastAsia" w:eastAsiaTheme="minorEastAsia"/>
          <w:sz w:val="32"/>
          <w:szCs w:val="32"/>
        </w:rPr>
      </w:pPr>
      <w:r>
        <w:rPr>
          <w:rFonts w:hint="eastAsia" w:asciiTheme="minorEastAsia" w:hAnsiTheme="minorEastAsia" w:eastAsiaTheme="minorEastAsia"/>
          <w:sz w:val="32"/>
          <w:szCs w:val="32"/>
        </w:rPr>
        <w:t>2023年部门预算安排购置公务用车0辆，购置费0万元；安排购置单位价值50万元以上的通用设备0台（套），购置费0万元；安排购置单位价值100万元以上专用设备0台（套），购置费0万元。</w:t>
      </w:r>
    </w:p>
    <w:p>
      <w:pPr>
        <w:adjustRightInd w:val="0"/>
        <w:snapToGrid w:val="0"/>
        <w:spacing w:line="580" w:lineRule="exact"/>
        <w:ind w:firstLine="643" w:firstLineChars="200"/>
        <w:jc w:val="left"/>
        <w:rPr>
          <w:rFonts w:ascii="仿宋_GB2312" w:hAnsi="楷体" w:eastAsia="仿宋_GB2312"/>
          <w:b/>
          <w:sz w:val="32"/>
          <w:szCs w:val="32"/>
        </w:rPr>
      </w:pPr>
      <w:r>
        <w:rPr>
          <w:rFonts w:hint="eastAsia" w:ascii="仿宋_GB2312" w:hAnsi="楷体" w:eastAsia="仿宋_GB2312"/>
          <w:b/>
          <w:sz w:val="32"/>
          <w:szCs w:val="32"/>
        </w:rPr>
        <w:t>（六）预算绩效目标设置情况。</w:t>
      </w:r>
    </w:p>
    <w:p>
      <w:pPr>
        <w:adjustRightInd w:val="0"/>
        <w:snapToGrid w:val="0"/>
        <w:spacing w:line="580" w:lineRule="exact"/>
        <w:ind w:firstLine="640" w:firstLineChars="200"/>
        <w:jc w:val="left"/>
        <w:outlineLvl w:val="0"/>
        <w:rPr>
          <w:rFonts w:asciiTheme="minorEastAsia" w:hAnsiTheme="minorEastAsia" w:eastAsiaTheme="minorEastAsia"/>
          <w:sz w:val="32"/>
          <w:szCs w:val="32"/>
        </w:rPr>
      </w:pPr>
      <w:r>
        <w:rPr>
          <w:rFonts w:hint="eastAsia" w:asciiTheme="minorEastAsia" w:hAnsiTheme="minorEastAsia" w:eastAsiaTheme="minorEastAsia"/>
          <w:sz w:val="32"/>
          <w:szCs w:val="32"/>
        </w:rPr>
        <w:t>2023年，</w:t>
      </w:r>
      <w:r>
        <w:rPr>
          <w:rFonts w:hint="eastAsia" w:cs="宋体" w:asciiTheme="minorEastAsia" w:hAnsiTheme="minorEastAsia" w:eastAsiaTheme="minorEastAsia"/>
          <w:kern w:val="0"/>
          <w:sz w:val="32"/>
          <w:szCs w:val="32"/>
        </w:rPr>
        <w:t>寿县人大办公室</w:t>
      </w:r>
      <w:r>
        <w:rPr>
          <w:rFonts w:hint="eastAsia" w:asciiTheme="minorEastAsia" w:hAnsiTheme="minorEastAsia" w:eastAsiaTheme="minorEastAsia"/>
          <w:sz w:val="32"/>
          <w:szCs w:val="32"/>
        </w:rPr>
        <w:t>1个项目实行了绩效目标管理，涉及一般公共预算当年财政拨款230.12万元。</w:t>
      </w:r>
    </w:p>
    <w:p>
      <w:pPr>
        <w:adjustRightInd w:val="0"/>
        <w:snapToGrid w:val="0"/>
        <w:spacing w:line="580" w:lineRule="exact"/>
        <w:ind w:firstLine="640" w:firstLineChars="200"/>
        <w:jc w:val="left"/>
        <w:rPr>
          <w:rFonts w:ascii="仿宋_GB2312" w:eastAsia="仿宋_GB2312" w:cs="宋体"/>
          <w:sz w:val="32"/>
          <w:szCs w:val="32"/>
        </w:rPr>
      </w:pPr>
      <w:r>
        <w:rPr>
          <w:rFonts w:hint="eastAsia" w:ascii="仿宋_GB2312" w:hAnsi="楷体" w:eastAsia="仿宋_GB2312"/>
          <w:sz w:val="32"/>
          <w:szCs w:val="32"/>
        </w:rPr>
        <w:t xml:space="preserve">                    </w:t>
      </w:r>
    </w:p>
    <w:p>
      <w:pPr>
        <w:adjustRightInd w:val="0"/>
        <w:snapToGrid w:val="0"/>
        <w:spacing w:line="580" w:lineRule="exact"/>
        <w:jc w:val="center"/>
        <w:rPr>
          <w:rFonts w:ascii="方正小标宋简体" w:hAnsi="方正小标宋简体" w:eastAsia="方正小标宋简体" w:cs="宋体"/>
          <w:sz w:val="44"/>
          <w:szCs w:val="44"/>
        </w:rPr>
      </w:pPr>
      <w:r>
        <w:rPr>
          <w:rFonts w:hint="eastAsia" w:ascii="方正小标宋简体" w:hAnsi="方正小标宋简体" w:eastAsia="方正小标宋简体" w:cs="宋体"/>
          <w:sz w:val="44"/>
          <w:szCs w:val="44"/>
        </w:rPr>
        <w:t>第四部分 名词解释</w:t>
      </w:r>
    </w:p>
    <w:p>
      <w:pPr>
        <w:adjustRightInd w:val="0"/>
        <w:snapToGrid w:val="0"/>
        <w:spacing w:line="580" w:lineRule="exact"/>
        <w:ind w:firstLine="643" w:firstLineChars="200"/>
        <w:jc w:val="left"/>
        <w:rPr>
          <w:rFonts w:asciiTheme="minorEastAsia" w:hAnsiTheme="minorEastAsia" w:eastAsiaTheme="minorEastAsia"/>
          <w:sz w:val="32"/>
          <w:szCs w:val="32"/>
        </w:rPr>
      </w:pPr>
      <w:r>
        <w:rPr>
          <w:rFonts w:hint="eastAsia" w:asciiTheme="minorEastAsia" w:hAnsiTheme="minorEastAsia" w:eastAsiaTheme="minorEastAsia"/>
          <w:b/>
          <w:sz w:val="32"/>
          <w:szCs w:val="32"/>
        </w:rPr>
        <w:t>一、财政拨款收入：</w:t>
      </w:r>
      <w:r>
        <w:rPr>
          <w:rFonts w:hint="eastAsia" w:asciiTheme="minorEastAsia" w:hAnsiTheme="minorEastAsia" w:eastAsiaTheme="minorEastAsia"/>
          <w:sz w:val="32"/>
          <w:szCs w:val="32"/>
        </w:rPr>
        <w:t>指县财政当年拨付的资金，主要包括一般公共预算拨款收入、政府性基金预算拨款收入、国有资本经营预算拨款收入。</w:t>
      </w:r>
    </w:p>
    <w:p>
      <w:pPr>
        <w:pStyle w:val="6"/>
        <w:adjustRightInd w:val="0"/>
        <w:snapToGrid w:val="0"/>
        <w:spacing w:before="0" w:beforeAutospacing="0" w:after="0" w:afterAutospacing="0" w:line="580" w:lineRule="exact"/>
        <w:ind w:firstLine="630" w:firstLineChars="196"/>
        <w:rPr>
          <w:rFonts w:cs="Times New Roman" w:asciiTheme="minorEastAsia" w:hAnsiTheme="minorEastAsia" w:eastAsiaTheme="minorEastAsia"/>
          <w:kern w:val="2"/>
          <w:sz w:val="32"/>
          <w:szCs w:val="32"/>
        </w:rPr>
      </w:pPr>
      <w:r>
        <w:rPr>
          <w:rFonts w:hint="eastAsia" w:asciiTheme="minorEastAsia" w:hAnsiTheme="minorEastAsia" w:eastAsiaTheme="minorEastAsia"/>
          <w:b/>
          <w:sz w:val="32"/>
          <w:szCs w:val="32"/>
        </w:rPr>
        <w:t>二、财政专户管理非税收入：</w:t>
      </w:r>
      <w:r>
        <w:rPr>
          <w:rFonts w:hint="eastAsia" w:cs="Times New Roman" w:asciiTheme="minorEastAsia" w:hAnsiTheme="minorEastAsia" w:eastAsiaTheme="minorEastAsia"/>
          <w:kern w:val="2"/>
          <w:sz w:val="32"/>
          <w:szCs w:val="32"/>
        </w:rPr>
        <w:t>指按照非税收入管理相关规定，纳入财政专户管理的教育收费等。</w:t>
      </w:r>
    </w:p>
    <w:p>
      <w:pPr>
        <w:pStyle w:val="6"/>
        <w:adjustRightInd w:val="0"/>
        <w:snapToGrid w:val="0"/>
        <w:spacing w:before="0" w:beforeAutospacing="0" w:after="0" w:afterAutospacing="0" w:line="580" w:lineRule="exact"/>
        <w:ind w:firstLine="630" w:firstLineChars="196"/>
        <w:rPr>
          <w:rFonts w:cs="Times New Roman" w:asciiTheme="minorEastAsia" w:hAnsiTheme="minorEastAsia" w:eastAsiaTheme="minorEastAsia"/>
          <w:kern w:val="2"/>
          <w:sz w:val="32"/>
          <w:szCs w:val="32"/>
        </w:rPr>
      </w:pPr>
      <w:r>
        <w:rPr>
          <w:rFonts w:hint="eastAsia" w:asciiTheme="minorEastAsia" w:hAnsiTheme="minorEastAsia" w:eastAsiaTheme="minorEastAsia"/>
          <w:b/>
          <w:sz w:val="32"/>
          <w:szCs w:val="32"/>
        </w:rPr>
        <w:t>三、其他收入：</w:t>
      </w:r>
      <w:r>
        <w:rPr>
          <w:rFonts w:hint="eastAsia" w:cs="Times New Roman" w:asciiTheme="minorEastAsia" w:hAnsiTheme="minorEastAsia" w:eastAsiaTheme="minorEastAsia"/>
          <w:kern w:val="2"/>
          <w:sz w:val="32"/>
          <w:szCs w:val="32"/>
        </w:rPr>
        <w:t>指除了财政拨款收入、财政专户管理非税收入等以外的收入。</w:t>
      </w:r>
    </w:p>
    <w:p>
      <w:pPr>
        <w:pStyle w:val="6"/>
        <w:adjustRightInd w:val="0"/>
        <w:snapToGrid w:val="0"/>
        <w:spacing w:before="0" w:beforeAutospacing="0" w:after="0" w:afterAutospacing="0" w:line="580" w:lineRule="exact"/>
        <w:ind w:firstLine="630" w:firstLineChars="196"/>
        <w:rPr>
          <w:rFonts w:cs="Times New Roman" w:asciiTheme="minorEastAsia" w:hAnsiTheme="minorEastAsia" w:eastAsiaTheme="minorEastAsia"/>
          <w:kern w:val="2"/>
          <w:sz w:val="32"/>
          <w:szCs w:val="32"/>
        </w:rPr>
      </w:pPr>
      <w:r>
        <w:rPr>
          <w:rFonts w:hint="eastAsia" w:asciiTheme="minorEastAsia" w:hAnsiTheme="minorEastAsia" w:eastAsiaTheme="minorEastAsia"/>
          <w:b/>
          <w:sz w:val="32"/>
          <w:szCs w:val="32"/>
        </w:rPr>
        <w:t>四、上年结转：</w:t>
      </w:r>
      <w:r>
        <w:rPr>
          <w:rFonts w:hint="eastAsia" w:cs="Times New Roman" w:asciiTheme="minorEastAsia" w:hAnsiTheme="minorEastAsia" w:eastAsiaTheme="minorEastAsia"/>
          <w:kern w:val="2"/>
          <w:sz w:val="32"/>
          <w:szCs w:val="32"/>
        </w:rPr>
        <w:t>指以前年度安排、结转到本年仍按原用途继续使用的资金。</w:t>
      </w:r>
    </w:p>
    <w:p>
      <w:pPr>
        <w:pStyle w:val="6"/>
        <w:adjustRightInd w:val="0"/>
        <w:snapToGrid w:val="0"/>
        <w:spacing w:before="0" w:beforeAutospacing="0" w:after="0" w:afterAutospacing="0" w:line="580" w:lineRule="exact"/>
        <w:ind w:firstLine="630" w:firstLineChars="196"/>
        <w:rPr>
          <w:rFonts w:cs="Times New Roman" w:asciiTheme="minorEastAsia" w:hAnsiTheme="minorEastAsia" w:eastAsiaTheme="minorEastAsia"/>
          <w:kern w:val="2"/>
          <w:sz w:val="32"/>
          <w:szCs w:val="32"/>
        </w:rPr>
      </w:pPr>
      <w:r>
        <w:rPr>
          <w:rFonts w:hint="eastAsia" w:asciiTheme="minorEastAsia" w:hAnsiTheme="minorEastAsia" w:eastAsiaTheme="minorEastAsia"/>
          <w:b/>
          <w:sz w:val="32"/>
          <w:szCs w:val="32"/>
        </w:rPr>
        <w:t>五、结转下年：</w:t>
      </w:r>
      <w:r>
        <w:rPr>
          <w:rFonts w:hint="eastAsia" w:cs="Times New Roman" w:asciiTheme="minorEastAsia" w:hAnsiTheme="minorEastAsia" w:eastAsiaTheme="minorEastAsia"/>
          <w:kern w:val="2"/>
          <w:sz w:val="32"/>
          <w:szCs w:val="32"/>
        </w:rPr>
        <w:t>指以前年度预算安排、因客观条件发生变化无法按原计划实施，需以后年度按原用途继续使用的资金。</w:t>
      </w:r>
    </w:p>
    <w:p>
      <w:pPr>
        <w:pStyle w:val="6"/>
        <w:adjustRightInd w:val="0"/>
        <w:snapToGrid w:val="0"/>
        <w:spacing w:before="0" w:beforeAutospacing="0" w:after="0" w:afterAutospacing="0" w:line="580" w:lineRule="exact"/>
        <w:ind w:firstLine="630" w:firstLineChars="196"/>
        <w:rPr>
          <w:rFonts w:asciiTheme="minorEastAsia" w:hAnsiTheme="minorEastAsia" w:eastAsiaTheme="minorEastAsia"/>
          <w:sz w:val="32"/>
          <w:szCs w:val="32"/>
        </w:rPr>
      </w:pPr>
      <w:r>
        <w:rPr>
          <w:rFonts w:hint="eastAsia" w:asciiTheme="minorEastAsia" w:hAnsiTheme="minorEastAsia" w:eastAsiaTheme="minorEastAsia"/>
          <w:b/>
          <w:sz w:val="32"/>
          <w:szCs w:val="32"/>
        </w:rPr>
        <w:t>六、基本支出：</w:t>
      </w:r>
      <w:r>
        <w:rPr>
          <w:rFonts w:hint="eastAsia" w:asciiTheme="minorEastAsia" w:hAnsiTheme="minorEastAsia" w:eastAsiaTheme="minorEastAsia"/>
          <w:sz w:val="32"/>
          <w:szCs w:val="32"/>
        </w:rPr>
        <w:t>指为保障机构正常运转、完成日常工作任务而发生的人员支出和公用支出。</w:t>
      </w:r>
    </w:p>
    <w:p>
      <w:pPr>
        <w:pStyle w:val="6"/>
        <w:snapToGrid w:val="0"/>
        <w:spacing w:before="0" w:beforeAutospacing="0" w:after="0" w:afterAutospacing="0" w:line="580" w:lineRule="exact"/>
        <w:ind w:firstLine="630" w:firstLineChars="196"/>
        <w:rPr>
          <w:rFonts w:asciiTheme="minorEastAsia" w:hAnsiTheme="minorEastAsia" w:eastAsiaTheme="minorEastAsia"/>
          <w:sz w:val="32"/>
          <w:szCs w:val="32"/>
        </w:rPr>
      </w:pPr>
      <w:r>
        <w:rPr>
          <w:rFonts w:hint="eastAsia" w:asciiTheme="minorEastAsia" w:hAnsiTheme="minorEastAsia" w:eastAsiaTheme="minorEastAsia"/>
          <w:b/>
          <w:sz w:val="32"/>
          <w:szCs w:val="32"/>
        </w:rPr>
        <w:t>七、项目支出：</w:t>
      </w:r>
      <w:r>
        <w:rPr>
          <w:rFonts w:hint="eastAsia" w:asciiTheme="minorEastAsia" w:hAnsiTheme="minorEastAsia" w:eastAsiaTheme="minorEastAsia"/>
          <w:sz w:val="32"/>
          <w:szCs w:val="32"/>
        </w:rPr>
        <w:t>指在基本支出之外为完成特定工作任务和事业发展目标所发生的支出。</w:t>
      </w:r>
      <w:r>
        <w:rPr>
          <w:rFonts w:hint="eastAsia" w:asciiTheme="minorEastAsia" w:hAnsiTheme="minorEastAsia" w:eastAsiaTheme="minorEastAsia"/>
          <w:sz w:val="32"/>
          <w:szCs w:val="32"/>
        </w:rPr>
        <w:br w:type="textWrapping"/>
      </w:r>
      <w:r>
        <w:rPr>
          <w:rFonts w:hint="eastAsia" w:asciiTheme="minorEastAsia" w:hAnsiTheme="minorEastAsia" w:eastAsiaTheme="minorEastAsia"/>
          <w:sz w:val="32"/>
          <w:szCs w:val="32"/>
        </w:rPr>
        <w:t xml:space="preserve">   </w:t>
      </w:r>
      <w:r>
        <w:rPr>
          <w:rFonts w:hint="eastAsia" w:asciiTheme="minorEastAsia" w:hAnsiTheme="minorEastAsia" w:eastAsiaTheme="minorEastAsia"/>
          <w:b/>
          <w:sz w:val="32"/>
          <w:szCs w:val="32"/>
        </w:rPr>
        <w:t xml:space="preserve"> 八、“三公”经费：</w:t>
      </w:r>
      <w:r>
        <w:rPr>
          <w:rFonts w:hint="eastAsia" w:asciiTheme="minorEastAsia" w:hAnsiTheme="minorEastAsia" w:eastAsiaTheme="minorEastAsia"/>
          <w:sz w:val="32"/>
          <w:szCs w:val="32"/>
        </w:rPr>
        <w:t>纳入财政预决算管理的“三公”经费，是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及燃料费、维修费、过桥过路费、保险费、安全奖励费用等支出；公务接待费反映单位按规定开支的各类公务接待（含外宾接待）支出。</w:t>
      </w:r>
    </w:p>
    <w:p>
      <w:pPr>
        <w:pStyle w:val="6"/>
        <w:snapToGrid w:val="0"/>
        <w:spacing w:before="0" w:beforeAutospacing="0" w:after="0" w:afterAutospacing="0" w:line="580" w:lineRule="exact"/>
        <w:ind w:firstLine="540" w:firstLineChars="168"/>
        <w:rPr>
          <w:rFonts w:cs="Arial" w:asciiTheme="minorEastAsia" w:hAnsiTheme="minorEastAsia" w:eastAsiaTheme="minorEastAsia"/>
          <w:color w:val="333333"/>
          <w:sz w:val="32"/>
          <w:szCs w:val="32"/>
          <w:shd w:val="clear" w:color="auto" w:fill="FFFFFF"/>
        </w:rPr>
      </w:pPr>
      <w:r>
        <w:rPr>
          <w:rFonts w:hint="eastAsia" w:cs="Arial" w:asciiTheme="minorEastAsia" w:hAnsiTheme="minorEastAsia" w:eastAsiaTheme="minorEastAsia"/>
          <w:b/>
          <w:color w:val="333333"/>
          <w:sz w:val="32"/>
          <w:szCs w:val="32"/>
          <w:shd w:val="clear" w:color="auto" w:fill="FFFFFF"/>
        </w:rPr>
        <w:t>九、支出功能分类科目:</w:t>
      </w:r>
      <w:r>
        <w:rPr>
          <w:rFonts w:hint="eastAsia" w:cs="Arial" w:asciiTheme="minorEastAsia" w:hAnsiTheme="minorEastAsia" w:eastAsiaTheme="minorEastAsia"/>
          <w:color w:val="333333"/>
          <w:sz w:val="32"/>
          <w:szCs w:val="32"/>
          <w:shd w:val="clear" w:color="auto" w:fill="FFFFFF"/>
        </w:rPr>
        <w:t>主要反映政府活动的不同功能和政策目标，具体设类、款、项三级。</w:t>
      </w:r>
    </w:p>
    <w:p>
      <w:pPr>
        <w:pStyle w:val="6"/>
        <w:snapToGrid w:val="0"/>
        <w:spacing w:before="0" w:beforeAutospacing="0" w:after="0" w:afterAutospacing="0" w:line="580" w:lineRule="exact"/>
        <w:ind w:firstLine="540" w:firstLineChars="168"/>
        <w:rPr>
          <w:rFonts w:cs="Arial" w:asciiTheme="minorEastAsia" w:hAnsiTheme="minorEastAsia" w:eastAsiaTheme="minorEastAsia"/>
          <w:color w:val="333333"/>
          <w:sz w:val="32"/>
          <w:szCs w:val="32"/>
          <w:shd w:val="clear" w:color="auto" w:fill="FFFFFF"/>
        </w:rPr>
      </w:pPr>
      <w:r>
        <w:rPr>
          <w:rFonts w:hint="eastAsia" w:cs="Arial" w:asciiTheme="minorEastAsia" w:hAnsiTheme="minorEastAsia" w:eastAsiaTheme="minorEastAsia"/>
          <w:b/>
          <w:color w:val="333333"/>
          <w:sz w:val="32"/>
          <w:szCs w:val="32"/>
          <w:shd w:val="clear" w:color="auto" w:fill="FFFFFF"/>
        </w:rPr>
        <w:t>十、支出经济分类科目：</w:t>
      </w:r>
      <w:r>
        <w:rPr>
          <w:rFonts w:hint="eastAsia" w:cs="Arial" w:asciiTheme="minorEastAsia" w:hAnsiTheme="minorEastAsia" w:eastAsiaTheme="minorEastAsia"/>
          <w:color w:val="333333"/>
          <w:sz w:val="32"/>
          <w:szCs w:val="32"/>
          <w:shd w:val="clear" w:color="auto" w:fill="FFFFFF"/>
        </w:rPr>
        <w:t>是指政府支出按经济性质和具体用途所作的一种分类科目，具体设类、款两级。</w:t>
      </w:r>
    </w:p>
    <w:p>
      <w:pPr>
        <w:pStyle w:val="6"/>
        <w:snapToGrid w:val="0"/>
        <w:spacing w:before="0" w:beforeAutospacing="0" w:after="0" w:afterAutospacing="0" w:line="580" w:lineRule="exact"/>
        <w:ind w:firstLine="643" w:firstLineChars="200"/>
        <w:rPr>
          <w:rFonts w:asciiTheme="minorEastAsia" w:hAnsiTheme="minorEastAsia" w:eastAsiaTheme="minorEastAsia"/>
          <w:kern w:val="2"/>
          <w:sz w:val="32"/>
          <w:szCs w:val="32"/>
        </w:rPr>
      </w:pPr>
      <w:r>
        <w:rPr>
          <w:rFonts w:hint="eastAsia" w:cs="Arial" w:asciiTheme="minorEastAsia" w:hAnsiTheme="minorEastAsia" w:eastAsiaTheme="minorEastAsia"/>
          <w:b/>
          <w:color w:val="333333"/>
          <w:sz w:val="32"/>
          <w:szCs w:val="32"/>
          <w:shd w:val="clear" w:color="auto" w:fill="FFFFFF"/>
        </w:rPr>
        <w:t>十一、机关运行经费:</w:t>
      </w:r>
      <w:r>
        <w:rPr>
          <w:rFonts w:hint="eastAsia" w:asciiTheme="minorEastAsia" w:hAnsiTheme="minorEastAsia" w:eastAsiaTheme="minorEastAsia"/>
          <w:sz w:val="32"/>
          <w:szCs w:val="32"/>
        </w:rPr>
        <w:t>指为保障行政单位（包括参照公务员法管理的事业单位）运行，用于购买货物和服务的各项资金。机关运行经费为财政拨款中以下支出内容</w:t>
      </w:r>
      <w:r>
        <w:rPr>
          <w:rFonts w:hint="eastAsia" w:asciiTheme="minorEastAsia" w:hAnsiTheme="minorEastAsia" w:eastAsiaTheme="minorEastAsia"/>
          <w:kern w:val="2"/>
          <w:sz w:val="32"/>
          <w:szCs w:val="32"/>
        </w:rPr>
        <w:t>办公费、印刷费、邮电费、差旅费、因公出国（境）费用、租赁费、会议费、培训费、公务接待费、福利费、日常维修（护）费、专用材料费、办公设备购置、办公用房水费、电费、取暖费、物业管理费，公务用车购置、公务用车运行维护费等。</w:t>
      </w:r>
    </w:p>
    <w:p>
      <w:pPr>
        <w:pStyle w:val="6"/>
        <w:snapToGrid w:val="0"/>
        <w:spacing w:before="0" w:beforeAutospacing="0" w:after="0" w:afterAutospacing="0" w:line="580" w:lineRule="exact"/>
        <w:ind w:firstLine="480" w:firstLineChars="150"/>
        <w:rPr>
          <w:rFonts w:asciiTheme="minorEastAsia" w:hAnsiTheme="minorEastAsia" w:eastAsiaTheme="minorEastAsia"/>
          <w:kern w:val="2"/>
          <w:sz w:val="32"/>
          <w:szCs w:val="32"/>
        </w:rPr>
      </w:pPr>
    </w:p>
    <w:p>
      <w:pPr>
        <w:pStyle w:val="6"/>
        <w:snapToGrid w:val="0"/>
        <w:spacing w:before="0" w:beforeAutospacing="0" w:after="0" w:afterAutospacing="0" w:line="580" w:lineRule="exact"/>
        <w:ind w:firstLine="480" w:firstLineChars="150"/>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附表：</w:t>
      </w:r>
      <w:r>
        <w:rPr>
          <w:rFonts w:hint="eastAsia" w:asciiTheme="minorEastAsia" w:hAnsiTheme="minorEastAsia" w:eastAsiaTheme="minorEastAsia"/>
          <w:bCs/>
          <w:color w:val="000000"/>
          <w:sz w:val="32"/>
          <w:szCs w:val="32"/>
        </w:rPr>
        <w:t>寿县人大办公室</w:t>
      </w:r>
      <w:r>
        <w:rPr>
          <w:rFonts w:hint="eastAsia" w:asciiTheme="minorEastAsia" w:hAnsiTheme="minorEastAsia" w:eastAsiaTheme="minorEastAsia"/>
          <w:bCs/>
          <w:sz w:val="32"/>
          <w:szCs w:val="32"/>
        </w:rPr>
        <w:t>2023年部门预算表</w:t>
      </w:r>
    </w:p>
    <w:sectPr>
      <w:footerReference r:id="rId3" w:type="default"/>
      <w:pgSz w:w="11906" w:h="16838"/>
      <w:pgMar w:top="1440" w:right="141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altName w:val="微软雅黑"/>
    <w:panose1 w:val="00000000000000000000"/>
    <w:charset w:val="86"/>
    <w:family w:val="auto"/>
    <w:pitch w:val="default"/>
    <w:sig w:usb0="00000000" w:usb1="00000000" w:usb2="00000010" w:usb3="00000000" w:csb0="000400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12</w:t>
    </w:r>
    <w:r>
      <w:rPr>
        <w:lang w:val="zh-CN"/>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84EF3"/>
    <w:rsid w:val="00001C4D"/>
    <w:rsid w:val="00003A55"/>
    <w:rsid w:val="00004F0D"/>
    <w:rsid w:val="0000665B"/>
    <w:rsid w:val="0001185F"/>
    <w:rsid w:val="00020DE5"/>
    <w:rsid w:val="0002245A"/>
    <w:rsid w:val="000235D0"/>
    <w:rsid w:val="0002496B"/>
    <w:rsid w:val="0004172E"/>
    <w:rsid w:val="00041A3C"/>
    <w:rsid w:val="00044A17"/>
    <w:rsid w:val="00044AF5"/>
    <w:rsid w:val="0004504D"/>
    <w:rsid w:val="00046C78"/>
    <w:rsid w:val="0005172D"/>
    <w:rsid w:val="00054C28"/>
    <w:rsid w:val="00066783"/>
    <w:rsid w:val="00066E8F"/>
    <w:rsid w:val="0007222A"/>
    <w:rsid w:val="000767EB"/>
    <w:rsid w:val="00076D39"/>
    <w:rsid w:val="00080FA1"/>
    <w:rsid w:val="00086201"/>
    <w:rsid w:val="000876F2"/>
    <w:rsid w:val="000900BD"/>
    <w:rsid w:val="00091AAC"/>
    <w:rsid w:val="000922BD"/>
    <w:rsid w:val="000A2B6B"/>
    <w:rsid w:val="000A3109"/>
    <w:rsid w:val="000A440A"/>
    <w:rsid w:val="000A494F"/>
    <w:rsid w:val="000A5B80"/>
    <w:rsid w:val="000A7793"/>
    <w:rsid w:val="000B102E"/>
    <w:rsid w:val="000B7C34"/>
    <w:rsid w:val="000C751B"/>
    <w:rsid w:val="000D0688"/>
    <w:rsid w:val="000D56C5"/>
    <w:rsid w:val="000E208B"/>
    <w:rsid w:val="000E4F06"/>
    <w:rsid w:val="000F01D6"/>
    <w:rsid w:val="000F560D"/>
    <w:rsid w:val="000F591D"/>
    <w:rsid w:val="000F678E"/>
    <w:rsid w:val="001003FB"/>
    <w:rsid w:val="00101A9A"/>
    <w:rsid w:val="00102014"/>
    <w:rsid w:val="00103721"/>
    <w:rsid w:val="001055D0"/>
    <w:rsid w:val="001119B2"/>
    <w:rsid w:val="00112450"/>
    <w:rsid w:val="00112D2B"/>
    <w:rsid w:val="0011434B"/>
    <w:rsid w:val="00116634"/>
    <w:rsid w:val="00120CF9"/>
    <w:rsid w:val="001221A2"/>
    <w:rsid w:val="001231FE"/>
    <w:rsid w:val="001278AA"/>
    <w:rsid w:val="00130820"/>
    <w:rsid w:val="00130975"/>
    <w:rsid w:val="00132B96"/>
    <w:rsid w:val="001431FA"/>
    <w:rsid w:val="00144CED"/>
    <w:rsid w:val="00153162"/>
    <w:rsid w:val="00153F41"/>
    <w:rsid w:val="00154DD9"/>
    <w:rsid w:val="00154EB8"/>
    <w:rsid w:val="0015647F"/>
    <w:rsid w:val="001576E5"/>
    <w:rsid w:val="00165ECB"/>
    <w:rsid w:val="001748CD"/>
    <w:rsid w:val="0017717F"/>
    <w:rsid w:val="001822C2"/>
    <w:rsid w:val="001852B4"/>
    <w:rsid w:val="0018592E"/>
    <w:rsid w:val="00194180"/>
    <w:rsid w:val="00196579"/>
    <w:rsid w:val="001A022B"/>
    <w:rsid w:val="001A1297"/>
    <w:rsid w:val="001A252D"/>
    <w:rsid w:val="001B3434"/>
    <w:rsid w:val="001C0BD2"/>
    <w:rsid w:val="001C0F29"/>
    <w:rsid w:val="001D029A"/>
    <w:rsid w:val="001D2191"/>
    <w:rsid w:val="001D513F"/>
    <w:rsid w:val="001D561C"/>
    <w:rsid w:val="001D7312"/>
    <w:rsid w:val="001D73EC"/>
    <w:rsid w:val="001E36E2"/>
    <w:rsid w:val="001E46D7"/>
    <w:rsid w:val="001F0790"/>
    <w:rsid w:val="001F07F0"/>
    <w:rsid w:val="001F32D7"/>
    <w:rsid w:val="001F37B1"/>
    <w:rsid w:val="001F5422"/>
    <w:rsid w:val="0020030E"/>
    <w:rsid w:val="00201BB6"/>
    <w:rsid w:val="00204AF2"/>
    <w:rsid w:val="00204EFF"/>
    <w:rsid w:val="00210E2A"/>
    <w:rsid w:val="00212A5F"/>
    <w:rsid w:val="00213575"/>
    <w:rsid w:val="002161FA"/>
    <w:rsid w:val="00216582"/>
    <w:rsid w:val="00216F14"/>
    <w:rsid w:val="00223037"/>
    <w:rsid w:val="00223DD6"/>
    <w:rsid w:val="002308BF"/>
    <w:rsid w:val="00232957"/>
    <w:rsid w:val="0023587C"/>
    <w:rsid w:val="00235E7C"/>
    <w:rsid w:val="00240354"/>
    <w:rsid w:val="00241D6B"/>
    <w:rsid w:val="0024264B"/>
    <w:rsid w:val="00244ADF"/>
    <w:rsid w:val="002618D2"/>
    <w:rsid w:val="00262483"/>
    <w:rsid w:val="00263FFD"/>
    <w:rsid w:val="00264952"/>
    <w:rsid w:val="00264F08"/>
    <w:rsid w:val="00265181"/>
    <w:rsid w:val="00266F6F"/>
    <w:rsid w:val="00271BD2"/>
    <w:rsid w:val="002731B1"/>
    <w:rsid w:val="00274682"/>
    <w:rsid w:val="00275175"/>
    <w:rsid w:val="00277138"/>
    <w:rsid w:val="002809D9"/>
    <w:rsid w:val="00281B96"/>
    <w:rsid w:val="002822B7"/>
    <w:rsid w:val="002843F3"/>
    <w:rsid w:val="00284AD1"/>
    <w:rsid w:val="00284B1C"/>
    <w:rsid w:val="002912FF"/>
    <w:rsid w:val="0029292C"/>
    <w:rsid w:val="002A0119"/>
    <w:rsid w:val="002A15BD"/>
    <w:rsid w:val="002A201D"/>
    <w:rsid w:val="002A2BA9"/>
    <w:rsid w:val="002A4CEA"/>
    <w:rsid w:val="002A6E39"/>
    <w:rsid w:val="002B2296"/>
    <w:rsid w:val="002B4F53"/>
    <w:rsid w:val="002B4FEF"/>
    <w:rsid w:val="002C451D"/>
    <w:rsid w:val="002D1FE7"/>
    <w:rsid w:val="002D3774"/>
    <w:rsid w:val="002D3CBA"/>
    <w:rsid w:val="002D43CF"/>
    <w:rsid w:val="002D5BA6"/>
    <w:rsid w:val="002E5F07"/>
    <w:rsid w:val="002E6EE7"/>
    <w:rsid w:val="002F50BC"/>
    <w:rsid w:val="002F6B5C"/>
    <w:rsid w:val="00300844"/>
    <w:rsid w:val="00303152"/>
    <w:rsid w:val="00306434"/>
    <w:rsid w:val="00312897"/>
    <w:rsid w:val="00315AC7"/>
    <w:rsid w:val="003202A5"/>
    <w:rsid w:val="00322E4D"/>
    <w:rsid w:val="00323501"/>
    <w:rsid w:val="0033096E"/>
    <w:rsid w:val="00336AE6"/>
    <w:rsid w:val="0034241B"/>
    <w:rsid w:val="00344196"/>
    <w:rsid w:val="0034469C"/>
    <w:rsid w:val="0034526F"/>
    <w:rsid w:val="003479E4"/>
    <w:rsid w:val="003607C5"/>
    <w:rsid w:val="003613BE"/>
    <w:rsid w:val="00361D0B"/>
    <w:rsid w:val="00364339"/>
    <w:rsid w:val="003708B2"/>
    <w:rsid w:val="0037368D"/>
    <w:rsid w:val="00374A95"/>
    <w:rsid w:val="003764C5"/>
    <w:rsid w:val="00376B6E"/>
    <w:rsid w:val="003853BB"/>
    <w:rsid w:val="003872E9"/>
    <w:rsid w:val="00387A5C"/>
    <w:rsid w:val="00392333"/>
    <w:rsid w:val="00394026"/>
    <w:rsid w:val="00396026"/>
    <w:rsid w:val="00397065"/>
    <w:rsid w:val="003A1262"/>
    <w:rsid w:val="003A3AB3"/>
    <w:rsid w:val="003B59A4"/>
    <w:rsid w:val="003B70C8"/>
    <w:rsid w:val="003B742B"/>
    <w:rsid w:val="003C11AF"/>
    <w:rsid w:val="003C18FB"/>
    <w:rsid w:val="003C1D28"/>
    <w:rsid w:val="003C3C10"/>
    <w:rsid w:val="003C5996"/>
    <w:rsid w:val="003C60DA"/>
    <w:rsid w:val="003C69BD"/>
    <w:rsid w:val="003D1D2A"/>
    <w:rsid w:val="003D2A66"/>
    <w:rsid w:val="003D5C34"/>
    <w:rsid w:val="003D7E92"/>
    <w:rsid w:val="003E20CD"/>
    <w:rsid w:val="003E43F8"/>
    <w:rsid w:val="003E4E65"/>
    <w:rsid w:val="003E6CE9"/>
    <w:rsid w:val="003F17B8"/>
    <w:rsid w:val="003F2586"/>
    <w:rsid w:val="003F369E"/>
    <w:rsid w:val="003F48A6"/>
    <w:rsid w:val="003F4E12"/>
    <w:rsid w:val="003F6420"/>
    <w:rsid w:val="003F736F"/>
    <w:rsid w:val="003F7A4E"/>
    <w:rsid w:val="003F7F66"/>
    <w:rsid w:val="0040046F"/>
    <w:rsid w:val="00405697"/>
    <w:rsid w:val="004074D7"/>
    <w:rsid w:val="00414C62"/>
    <w:rsid w:val="00416F0B"/>
    <w:rsid w:val="00417956"/>
    <w:rsid w:val="004205EB"/>
    <w:rsid w:val="00421510"/>
    <w:rsid w:val="00422A81"/>
    <w:rsid w:val="004271C2"/>
    <w:rsid w:val="00427398"/>
    <w:rsid w:val="0043251E"/>
    <w:rsid w:val="004348D5"/>
    <w:rsid w:val="00443AD4"/>
    <w:rsid w:val="00446019"/>
    <w:rsid w:val="00456891"/>
    <w:rsid w:val="00457E1E"/>
    <w:rsid w:val="00464B12"/>
    <w:rsid w:val="00465648"/>
    <w:rsid w:val="00465890"/>
    <w:rsid w:val="004720A3"/>
    <w:rsid w:val="00476387"/>
    <w:rsid w:val="00477601"/>
    <w:rsid w:val="00477896"/>
    <w:rsid w:val="00481181"/>
    <w:rsid w:val="0048209E"/>
    <w:rsid w:val="00486114"/>
    <w:rsid w:val="004869A4"/>
    <w:rsid w:val="00486E2C"/>
    <w:rsid w:val="0048782D"/>
    <w:rsid w:val="00492545"/>
    <w:rsid w:val="00492E81"/>
    <w:rsid w:val="004A0464"/>
    <w:rsid w:val="004A17BF"/>
    <w:rsid w:val="004A34C0"/>
    <w:rsid w:val="004A4E47"/>
    <w:rsid w:val="004A63C3"/>
    <w:rsid w:val="004B18F7"/>
    <w:rsid w:val="004B45C1"/>
    <w:rsid w:val="004C2D13"/>
    <w:rsid w:val="004C39F8"/>
    <w:rsid w:val="004D16C1"/>
    <w:rsid w:val="004D4377"/>
    <w:rsid w:val="004D5AFE"/>
    <w:rsid w:val="004E5D79"/>
    <w:rsid w:val="004F2B8B"/>
    <w:rsid w:val="004F6506"/>
    <w:rsid w:val="005035AE"/>
    <w:rsid w:val="00505B42"/>
    <w:rsid w:val="005073A2"/>
    <w:rsid w:val="00511848"/>
    <w:rsid w:val="00513252"/>
    <w:rsid w:val="00515E34"/>
    <w:rsid w:val="00517A1B"/>
    <w:rsid w:val="0052036E"/>
    <w:rsid w:val="0052098F"/>
    <w:rsid w:val="00520F09"/>
    <w:rsid w:val="005254AD"/>
    <w:rsid w:val="00527460"/>
    <w:rsid w:val="00530BC3"/>
    <w:rsid w:val="00532451"/>
    <w:rsid w:val="00536194"/>
    <w:rsid w:val="00536A8C"/>
    <w:rsid w:val="005404B7"/>
    <w:rsid w:val="005422A6"/>
    <w:rsid w:val="00542C85"/>
    <w:rsid w:val="00543AF0"/>
    <w:rsid w:val="00545495"/>
    <w:rsid w:val="005560DF"/>
    <w:rsid w:val="005566B5"/>
    <w:rsid w:val="00556ACC"/>
    <w:rsid w:val="005672DB"/>
    <w:rsid w:val="00567AC7"/>
    <w:rsid w:val="00570085"/>
    <w:rsid w:val="005720A0"/>
    <w:rsid w:val="00573536"/>
    <w:rsid w:val="005738ED"/>
    <w:rsid w:val="005749F4"/>
    <w:rsid w:val="005851C2"/>
    <w:rsid w:val="0059103C"/>
    <w:rsid w:val="005A0A22"/>
    <w:rsid w:val="005B0ECF"/>
    <w:rsid w:val="005B4458"/>
    <w:rsid w:val="005B68B7"/>
    <w:rsid w:val="005C28DE"/>
    <w:rsid w:val="005C2D46"/>
    <w:rsid w:val="005C542F"/>
    <w:rsid w:val="005C66FF"/>
    <w:rsid w:val="005D141D"/>
    <w:rsid w:val="005D1F22"/>
    <w:rsid w:val="005D384F"/>
    <w:rsid w:val="005D617F"/>
    <w:rsid w:val="005D7F46"/>
    <w:rsid w:val="005E0697"/>
    <w:rsid w:val="005E39D1"/>
    <w:rsid w:val="005F42CE"/>
    <w:rsid w:val="005F43C4"/>
    <w:rsid w:val="005F67C0"/>
    <w:rsid w:val="005F7E38"/>
    <w:rsid w:val="006056A7"/>
    <w:rsid w:val="00612140"/>
    <w:rsid w:val="00613EE8"/>
    <w:rsid w:val="00614EC4"/>
    <w:rsid w:val="00615C41"/>
    <w:rsid w:val="00616DE7"/>
    <w:rsid w:val="00620E62"/>
    <w:rsid w:val="00622F70"/>
    <w:rsid w:val="0062426F"/>
    <w:rsid w:val="006308F5"/>
    <w:rsid w:val="00631013"/>
    <w:rsid w:val="00633459"/>
    <w:rsid w:val="00634A98"/>
    <w:rsid w:val="006374E0"/>
    <w:rsid w:val="006376DB"/>
    <w:rsid w:val="00645436"/>
    <w:rsid w:val="006456B8"/>
    <w:rsid w:val="0064594E"/>
    <w:rsid w:val="00654F07"/>
    <w:rsid w:val="00656BF5"/>
    <w:rsid w:val="00657A31"/>
    <w:rsid w:val="00660201"/>
    <w:rsid w:val="00664AC7"/>
    <w:rsid w:val="0066794A"/>
    <w:rsid w:val="00670DCE"/>
    <w:rsid w:val="00671243"/>
    <w:rsid w:val="00680702"/>
    <w:rsid w:val="0068587E"/>
    <w:rsid w:val="0068788C"/>
    <w:rsid w:val="00696430"/>
    <w:rsid w:val="006A0FCD"/>
    <w:rsid w:val="006A288D"/>
    <w:rsid w:val="006A49EE"/>
    <w:rsid w:val="006A54A2"/>
    <w:rsid w:val="006A59F4"/>
    <w:rsid w:val="006A65C8"/>
    <w:rsid w:val="006B04A0"/>
    <w:rsid w:val="006B309C"/>
    <w:rsid w:val="006B5BB8"/>
    <w:rsid w:val="006C0606"/>
    <w:rsid w:val="006C0D39"/>
    <w:rsid w:val="006C208D"/>
    <w:rsid w:val="006C5CA9"/>
    <w:rsid w:val="006D7F79"/>
    <w:rsid w:val="006E2E5E"/>
    <w:rsid w:val="006F077B"/>
    <w:rsid w:val="007028CE"/>
    <w:rsid w:val="00707041"/>
    <w:rsid w:val="00710708"/>
    <w:rsid w:val="00710E1F"/>
    <w:rsid w:val="007110A4"/>
    <w:rsid w:val="00714275"/>
    <w:rsid w:val="00715743"/>
    <w:rsid w:val="0071575A"/>
    <w:rsid w:val="00716783"/>
    <w:rsid w:val="007220E1"/>
    <w:rsid w:val="00725A67"/>
    <w:rsid w:val="00727AAB"/>
    <w:rsid w:val="00732B18"/>
    <w:rsid w:val="0073588B"/>
    <w:rsid w:val="007361AD"/>
    <w:rsid w:val="00740224"/>
    <w:rsid w:val="0074079B"/>
    <w:rsid w:val="00741687"/>
    <w:rsid w:val="0074378C"/>
    <w:rsid w:val="007456AE"/>
    <w:rsid w:val="0074635D"/>
    <w:rsid w:val="00746CE0"/>
    <w:rsid w:val="007507F4"/>
    <w:rsid w:val="00753AFD"/>
    <w:rsid w:val="00755B89"/>
    <w:rsid w:val="00755C84"/>
    <w:rsid w:val="00763351"/>
    <w:rsid w:val="007711B0"/>
    <w:rsid w:val="00771958"/>
    <w:rsid w:val="007746F8"/>
    <w:rsid w:val="00776EE1"/>
    <w:rsid w:val="00787632"/>
    <w:rsid w:val="00795B9A"/>
    <w:rsid w:val="007A0D9E"/>
    <w:rsid w:val="007A65E2"/>
    <w:rsid w:val="007B1B53"/>
    <w:rsid w:val="007B3A89"/>
    <w:rsid w:val="007B71F4"/>
    <w:rsid w:val="007B76CC"/>
    <w:rsid w:val="007C06FB"/>
    <w:rsid w:val="007C24BB"/>
    <w:rsid w:val="007C719C"/>
    <w:rsid w:val="007E78AE"/>
    <w:rsid w:val="007E795C"/>
    <w:rsid w:val="007F514E"/>
    <w:rsid w:val="008274B3"/>
    <w:rsid w:val="008277DE"/>
    <w:rsid w:val="00831FAA"/>
    <w:rsid w:val="00837C89"/>
    <w:rsid w:val="0084029F"/>
    <w:rsid w:val="00850039"/>
    <w:rsid w:val="00850D77"/>
    <w:rsid w:val="008553E8"/>
    <w:rsid w:val="00855475"/>
    <w:rsid w:val="008619C0"/>
    <w:rsid w:val="008671E1"/>
    <w:rsid w:val="00870B98"/>
    <w:rsid w:val="00873BAD"/>
    <w:rsid w:val="00874923"/>
    <w:rsid w:val="00876DCB"/>
    <w:rsid w:val="00877781"/>
    <w:rsid w:val="00880749"/>
    <w:rsid w:val="0088165C"/>
    <w:rsid w:val="00884EF3"/>
    <w:rsid w:val="00884F63"/>
    <w:rsid w:val="00887E4C"/>
    <w:rsid w:val="008938B9"/>
    <w:rsid w:val="00896448"/>
    <w:rsid w:val="008A35EB"/>
    <w:rsid w:val="008A5956"/>
    <w:rsid w:val="008B096B"/>
    <w:rsid w:val="008B0EC5"/>
    <w:rsid w:val="008B6CBB"/>
    <w:rsid w:val="008C29C4"/>
    <w:rsid w:val="008C4CF4"/>
    <w:rsid w:val="008C576D"/>
    <w:rsid w:val="008C7933"/>
    <w:rsid w:val="008D0B29"/>
    <w:rsid w:val="008D2E27"/>
    <w:rsid w:val="008D4556"/>
    <w:rsid w:val="008D7118"/>
    <w:rsid w:val="008E2EAA"/>
    <w:rsid w:val="008E3B53"/>
    <w:rsid w:val="008E6387"/>
    <w:rsid w:val="008F088B"/>
    <w:rsid w:val="008F1453"/>
    <w:rsid w:val="008F429C"/>
    <w:rsid w:val="008F430F"/>
    <w:rsid w:val="009004CD"/>
    <w:rsid w:val="009014F5"/>
    <w:rsid w:val="0090196E"/>
    <w:rsid w:val="00901EC3"/>
    <w:rsid w:val="0090208D"/>
    <w:rsid w:val="0091270C"/>
    <w:rsid w:val="00912832"/>
    <w:rsid w:val="00913636"/>
    <w:rsid w:val="0091481C"/>
    <w:rsid w:val="0091660C"/>
    <w:rsid w:val="0092492B"/>
    <w:rsid w:val="0092511F"/>
    <w:rsid w:val="0092634C"/>
    <w:rsid w:val="009340C8"/>
    <w:rsid w:val="00934132"/>
    <w:rsid w:val="0094235B"/>
    <w:rsid w:val="00946992"/>
    <w:rsid w:val="00952F19"/>
    <w:rsid w:val="009531FE"/>
    <w:rsid w:val="00954BA6"/>
    <w:rsid w:val="00956354"/>
    <w:rsid w:val="009636BD"/>
    <w:rsid w:val="00966E69"/>
    <w:rsid w:val="00971CE5"/>
    <w:rsid w:val="00972438"/>
    <w:rsid w:val="0097393E"/>
    <w:rsid w:val="0097584C"/>
    <w:rsid w:val="009772DC"/>
    <w:rsid w:val="0098072D"/>
    <w:rsid w:val="00984D8B"/>
    <w:rsid w:val="0098740D"/>
    <w:rsid w:val="00994F0E"/>
    <w:rsid w:val="00996EB5"/>
    <w:rsid w:val="009A2AC0"/>
    <w:rsid w:val="009A46F9"/>
    <w:rsid w:val="009A4818"/>
    <w:rsid w:val="009B052D"/>
    <w:rsid w:val="009B63C8"/>
    <w:rsid w:val="009C2A87"/>
    <w:rsid w:val="009C493D"/>
    <w:rsid w:val="009C7E66"/>
    <w:rsid w:val="009D6311"/>
    <w:rsid w:val="009D6373"/>
    <w:rsid w:val="009E1D5C"/>
    <w:rsid w:val="009E2DE8"/>
    <w:rsid w:val="009E4817"/>
    <w:rsid w:val="009E4968"/>
    <w:rsid w:val="009F0CB4"/>
    <w:rsid w:val="00A012BA"/>
    <w:rsid w:val="00A01DE6"/>
    <w:rsid w:val="00A04B86"/>
    <w:rsid w:val="00A054BC"/>
    <w:rsid w:val="00A067BC"/>
    <w:rsid w:val="00A0692F"/>
    <w:rsid w:val="00A07986"/>
    <w:rsid w:val="00A07B94"/>
    <w:rsid w:val="00A101B6"/>
    <w:rsid w:val="00A10362"/>
    <w:rsid w:val="00A14C1B"/>
    <w:rsid w:val="00A22990"/>
    <w:rsid w:val="00A33E37"/>
    <w:rsid w:val="00A3675B"/>
    <w:rsid w:val="00A411E7"/>
    <w:rsid w:val="00A45394"/>
    <w:rsid w:val="00A50CB9"/>
    <w:rsid w:val="00A519AE"/>
    <w:rsid w:val="00A60F6F"/>
    <w:rsid w:val="00A635B6"/>
    <w:rsid w:val="00A637EB"/>
    <w:rsid w:val="00A6402E"/>
    <w:rsid w:val="00A643D4"/>
    <w:rsid w:val="00A64936"/>
    <w:rsid w:val="00A655D0"/>
    <w:rsid w:val="00A661BA"/>
    <w:rsid w:val="00A666E6"/>
    <w:rsid w:val="00A80281"/>
    <w:rsid w:val="00A813B4"/>
    <w:rsid w:val="00A83F2A"/>
    <w:rsid w:val="00A91B46"/>
    <w:rsid w:val="00A96C2F"/>
    <w:rsid w:val="00AA2F3F"/>
    <w:rsid w:val="00AA6510"/>
    <w:rsid w:val="00AB18BA"/>
    <w:rsid w:val="00AB3162"/>
    <w:rsid w:val="00AB3DC4"/>
    <w:rsid w:val="00AC4555"/>
    <w:rsid w:val="00AC7D74"/>
    <w:rsid w:val="00AD022C"/>
    <w:rsid w:val="00AD303C"/>
    <w:rsid w:val="00AD4670"/>
    <w:rsid w:val="00AD48C7"/>
    <w:rsid w:val="00AD6FC7"/>
    <w:rsid w:val="00AE423C"/>
    <w:rsid w:val="00AE59A2"/>
    <w:rsid w:val="00AE6D7A"/>
    <w:rsid w:val="00AE6D95"/>
    <w:rsid w:val="00AF11AD"/>
    <w:rsid w:val="00AF35B1"/>
    <w:rsid w:val="00AF79A3"/>
    <w:rsid w:val="00B022DB"/>
    <w:rsid w:val="00B02744"/>
    <w:rsid w:val="00B121B4"/>
    <w:rsid w:val="00B122F7"/>
    <w:rsid w:val="00B133EB"/>
    <w:rsid w:val="00B1516E"/>
    <w:rsid w:val="00B158AA"/>
    <w:rsid w:val="00B160C4"/>
    <w:rsid w:val="00B20BA8"/>
    <w:rsid w:val="00B20F47"/>
    <w:rsid w:val="00B222C0"/>
    <w:rsid w:val="00B32A12"/>
    <w:rsid w:val="00B32CDF"/>
    <w:rsid w:val="00B346B9"/>
    <w:rsid w:val="00B34ACF"/>
    <w:rsid w:val="00B41180"/>
    <w:rsid w:val="00B421CD"/>
    <w:rsid w:val="00B43BD6"/>
    <w:rsid w:val="00B451F6"/>
    <w:rsid w:val="00B47F29"/>
    <w:rsid w:val="00B505B3"/>
    <w:rsid w:val="00B613F4"/>
    <w:rsid w:val="00B62D55"/>
    <w:rsid w:val="00B6658E"/>
    <w:rsid w:val="00B67C2F"/>
    <w:rsid w:val="00B71D99"/>
    <w:rsid w:val="00B73B33"/>
    <w:rsid w:val="00B73BA8"/>
    <w:rsid w:val="00B74799"/>
    <w:rsid w:val="00B833E6"/>
    <w:rsid w:val="00B84ACD"/>
    <w:rsid w:val="00B92470"/>
    <w:rsid w:val="00B93AC4"/>
    <w:rsid w:val="00B951A4"/>
    <w:rsid w:val="00B95691"/>
    <w:rsid w:val="00BA5EAE"/>
    <w:rsid w:val="00BA698B"/>
    <w:rsid w:val="00BB08AD"/>
    <w:rsid w:val="00BB790A"/>
    <w:rsid w:val="00BB7D79"/>
    <w:rsid w:val="00BC11BF"/>
    <w:rsid w:val="00BC4E44"/>
    <w:rsid w:val="00BC5748"/>
    <w:rsid w:val="00BC73C5"/>
    <w:rsid w:val="00BC76E7"/>
    <w:rsid w:val="00BD5856"/>
    <w:rsid w:val="00BD7B2E"/>
    <w:rsid w:val="00BE2CBB"/>
    <w:rsid w:val="00BE7EE3"/>
    <w:rsid w:val="00BF19D4"/>
    <w:rsid w:val="00BF1A11"/>
    <w:rsid w:val="00BF31A2"/>
    <w:rsid w:val="00BF3884"/>
    <w:rsid w:val="00BF5F40"/>
    <w:rsid w:val="00BF6887"/>
    <w:rsid w:val="00C00534"/>
    <w:rsid w:val="00C00A7D"/>
    <w:rsid w:val="00C0101E"/>
    <w:rsid w:val="00C01050"/>
    <w:rsid w:val="00C0278A"/>
    <w:rsid w:val="00C04464"/>
    <w:rsid w:val="00C07C17"/>
    <w:rsid w:val="00C101A5"/>
    <w:rsid w:val="00C130C1"/>
    <w:rsid w:val="00C21019"/>
    <w:rsid w:val="00C26F63"/>
    <w:rsid w:val="00C31BA6"/>
    <w:rsid w:val="00C339D0"/>
    <w:rsid w:val="00C33E51"/>
    <w:rsid w:val="00C33EBC"/>
    <w:rsid w:val="00C359C1"/>
    <w:rsid w:val="00C36363"/>
    <w:rsid w:val="00C36618"/>
    <w:rsid w:val="00C36EB0"/>
    <w:rsid w:val="00C40B80"/>
    <w:rsid w:val="00C431B1"/>
    <w:rsid w:val="00C45E7F"/>
    <w:rsid w:val="00C4788B"/>
    <w:rsid w:val="00C47F0E"/>
    <w:rsid w:val="00C50415"/>
    <w:rsid w:val="00C52432"/>
    <w:rsid w:val="00C54FF6"/>
    <w:rsid w:val="00C5684C"/>
    <w:rsid w:val="00C5738B"/>
    <w:rsid w:val="00C607EA"/>
    <w:rsid w:val="00C6175F"/>
    <w:rsid w:val="00C6189A"/>
    <w:rsid w:val="00C73941"/>
    <w:rsid w:val="00C76AC9"/>
    <w:rsid w:val="00C80099"/>
    <w:rsid w:val="00C8284A"/>
    <w:rsid w:val="00C82F44"/>
    <w:rsid w:val="00C84238"/>
    <w:rsid w:val="00C85201"/>
    <w:rsid w:val="00C956E8"/>
    <w:rsid w:val="00C95E76"/>
    <w:rsid w:val="00C96A16"/>
    <w:rsid w:val="00C96B2A"/>
    <w:rsid w:val="00CA0519"/>
    <w:rsid w:val="00CA0830"/>
    <w:rsid w:val="00CA0DAB"/>
    <w:rsid w:val="00CA5E16"/>
    <w:rsid w:val="00CA632A"/>
    <w:rsid w:val="00CB0AD1"/>
    <w:rsid w:val="00CB28A4"/>
    <w:rsid w:val="00CB770B"/>
    <w:rsid w:val="00CC30D2"/>
    <w:rsid w:val="00CC3738"/>
    <w:rsid w:val="00CC43B8"/>
    <w:rsid w:val="00CC5AE2"/>
    <w:rsid w:val="00CE0C13"/>
    <w:rsid w:val="00CE15C2"/>
    <w:rsid w:val="00CE486A"/>
    <w:rsid w:val="00CE4FAE"/>
    <w:rsid w:val="00CF5990"/>
    <w:rsid w:val="00CF70F3"/>
    <w:rsid w:val="00D03EA1"/>
    <w:rsid w:val="00D075AC"/>
    <w:rsid w:val="00D078E9"/>
    <w:rsid w:val="00D1401D"/>
    <w:rsid w:val="00D170D2"/>
    <w:rsid w:val="00D1757B"/>
    <w:rsid w:val="00D251D8"/>
    <w:rsid w:val="00D27203"/>
    <w:rsid w:val="00D27256"/>
    <w:rsid w:val="00D274BD"/>
    <w:rsid w:val="00D37795"/>
    <w:rsid w:val="00D40487"/>
    <w:rsid w:val="00D41B2F"/>
    <w:rsid w:val="00D42C98"/>
    <w:rsid w:val="00D42D34"/>
    <w:rsid w:val="00D45982"/>
    <w:rsid w:val="00D46408"/>
    <w:rsid w:val="00D5339B"/>
    <w:rsid w:val="00D53DD9"/>
    <w:rsid w:val="00D53F07"/>
    <w:rsid w:val="00D60F41"/>
    <w:rsid w:val="00D6170A"/>
    <w:rsid w:val="00D61843"/>
    <w:rsid w:val="00D62DAF"/>
    <w:rsid w:val="00D6754B"/>
    <w:rsid w:val="00D7721D"/>
    <w:rsid w:val="00D773A8"/>
    <w:rsid w:val="00D84005"/>
    <w:rsid w:val="00D84594"/>
    <w:rsid w:val="00D90837"/>
    <w:rsid w:val="00D93D87"/>
    <w:rsid w:val="00DA10CB"/>
    <w:rsid w:val="00DB3194"/>
    <w:rsid w:val="00DB5900"/>
    <w:rsid w:val="00DB7C3C"/>
    <w:rsid w:val="00DC5B60"/>
    <w:rsid w:val="00DD27E8"/>
    <w:rsid w:val="00DD53A1"/>
    <w:rsid w:val="00DD6113"/>
    <w:rsid w:val="00DD6909"/>
    <w:rsid w:val="00DE2AB7"/>
    <w:rsid w:val="00DF03C1"/>
    <w:rsid w:val="00DF76BC"/>
    <w:rsid w:val="00E0276C"/>
    <w:rsid w:val="00E05F0B"/>
    <w:rsid w:val="00E05FB7"/>
    <w:rsid w:val="00E1479A"/>
    <w:rsid w:val="00E15132"/>
    <w:rsid w:val="00E1520F"/>
    <w:rsid w:val="00E17CAB"/>
    <w:rsid w:val="00E208A8"/>
    <w:rsid w:val="00E2266D"/>
    <w:rsid w:val="00E30532"/>
    <w:rsid w:val="00E335B2"/>
    <w:rsid w:val="00E36BA2"/>
    <w:rsid w:val="00E379A2"/>
    <w:rsid w:val="00E548F8"/>
    <w:rsid w:val="00E56542"/>
    <w:rsid w:val="00E57A96"/>
    <w:rsid w:val="00E6028D"/>
    <w:rsid w:val="00E615FA"/>
    <w:rsid w:val="00E7553A"/>
    <w:rsid w:val="00E76927"/>
    <w:rsid w:val="00E817E9"/>
    <w:rsid w:val="00E81888"/>
    <w:rsid w:val="00E81B96"/>
    <w:rsid w:val="00E91D5F"/>
    <w:rsid w:val="00E929E3"/>
    <w:rsid w:val="00E957C9"/>
    <w:rsid w:val="00E97020"/>
    <w:rsid w:val="00EA0180"/>
    <w:rsid w:val="00EA0C02"/>
    <w:rsid w:val="00EA2965"/>
    <w:rsid w:val="00EA6CBA"/>
    <w:rsid w:val="00EB0CE3"/>
    <w:rsid w:val="00EC3187"/>
    <w:rsid w:val="00EC4FE9"/>
    <w:rsid w:val="00ED307F"/>
    <w:rsid w:val="00ED414E"/>
    <w:rsid w:val="00EE32E9"/>
    <w:rsid w:val="00EE482B"/>
    <w:rsid w:val="00EE7924"/>
    <w:rsid w:val="00EE7E9C"/>
    <w:rsid w:val="00EF19F7"/>
    <w:rsid w:val="00EF4421"/>
    <w:rsid w:val="00EF44B3"/>
    <w:rsid w:val="00EF459A"/>
    <w:rsid w:val="00EF56E9"/>
    <w:rsid w:val="00F00150"/>
    <w:rsid w:val="00F00DEB"/>
    <w:rsid w:val="00F00E14"/>
    <w:rsid w:val="00F0139E"/>
    <w:rsid w:val="00F03C25"/>
    <w:rsid w:val="00F051CA"/>
    <w:rsid w:val="00F0626F"/>
    <w:rsid w:val="00F06647"/>
    <w:rsid w:val="00F143AE"/>
    <w:rsid w:val="00F24679"/>
    <w:rsid w:val="00F33052"/>
    <w:rsid w:val="00F33190"/>
    <w:rsid w:val="00F34855"/>
    <w:rsid w:val="00F35CFB"/>
    <w:rsid w:val="00F4131B"/>
    <w:rsid w:val="00F4165F"/>
    <w:rsid w:val="00F42834"/>
    <w:rsid w:val="00F4338B"/>
    <w:rsid w:val="00F57D7D"/>
    <w:rsid w:val="00F6132D"/>
    <w:rsid w:val="00F616E4"/>
    <w:rsid w:val="00F6277C"/>
    <w:rsid w:val="00F62E7A"/>
    <w:rsid w:val="00F662EC"/>
    <w:rsid w:val="00F85055"/>
    <w:rsid w:val="00F859B3"/>
    <w:rsid w:val="00F85E23"/>
    <w:rsid w:val="00F8649C"/>
    <w:rsid w:val="00F86876"/>
    <w:rsid w:val="00F9141A"/>
    <w:rsid w:val="00F91ABE"/>
    <w:rsid w:val="00FA0AEA"/>
    <w:rsid w:val="00FA1852"/>
    <w:rsid w:val="00FA3A2F"/>
    <w:rsid w:val="00FA4039"/>
    <w:rsid w:val="00FA4ECF"/>
    <w:rsid w:val="00FA4F06"/>
    <w:rsid w:val="00FB28D6"/>
    <w:rsid w:val="00FC5CAD"/>
    <w:rsid w:val="00FC6C4B"/>
    <w:rsid w:val="00FD2F5D"/>
    <w:rsid w:val="00FD7647"/>
    <w:rsid w:val="00FE4839"/>
    <w:rsid w:val="00FF0413"/>
    <w:rsid w:val="00FF4C1D"/>
    <w:rsid w:val="00FF6961"/>
    <w:rsid w:val="08A71940"/>
    <w:rsid w:val="0D18335F"/>
    <w:rsid w:val="0F4D5D3B"/>
    <w:rsid w:val="149D2DE5"/>
    <w:rsid w:val="16515577"/>
    <w:rsid w:val="2483194D"/>
    <w:rsid w:val="274D6682"/>
    <w:rsid w:val="28B82A64"/>
    <w:rsid w:val="45171F5F"/>
    <w:rsid w:val="4DE2243D"/>
    <w:rsid w:val="51D620DD"/>
    <w:rsid w:val="52C94A44"/>
    <w:rsid w:val="547A6A60"/>
    <w:rsid w:val="556F4099"/>
    <w:rsid w:val="5A5E709D"/>
    <w:rsid w:val="5C552D75"/>
    <w:rsid w:val="619A4C7D"/>
    <w:rsid w:val="660712E0"/>
    <w:rsid w:val="6B9923BB"/>
    <w:rsid w:val="6E7365C0"/>
    <w:rsid w:val="77874AC8"/>
    <w:rsid w:val="7FCC1129"/>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Document Map"/>
    <w:basedOn w:val="1"/>
    <w:semiHidden/>
    <w:uiPriority w:val="0"/>
    <w:pPr>
      <w:shd w:val="clear" w:color="auto" w:fill="000080"/>
    </w:pPr>
  </w:style>
  <w:style w:type="paragraph" w:styleId="3">
    <w:name w:val="Balloon Text"/>
    <w:basedOn w:val="1"/>
    <w:semiHidden/>
    <w:uiPriority w:val="0"/>
    <w:rPr>
      <w:sz w:val="18"/>
      <w:szCs w:val="18"/>
    </w:rPr>
  </w:style>
  <w:style w:type="paragraph" w:styleId="4">
    <w:name w:val="footer"/>
    <w:basedOn w:val="1"/>
    <w:link w:val="11"/>
    <w:uiPriority w:val="99"/>
    <w:pPr>
      <w:tabs>
        <w:tab w:val="center" w:pos="4153"/>
        <w:tab w:val="right" w:pos="8306"/>
      </w:tabs>
      <w:snapToGrid w:val="0"/>
      <w:jc w:val="left"/>
    </w:pPr>
    <w:rPr>
      <w:sz w:val="18"/>
      <w:szCs w:val="18"/>
    </w:rPr>
  </w:style>
  <w:style w:type="paragraph" w:styleId="5">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0"/>
    <w:pPr>
      <w:widowControl/>
      <w:spacing w:before="100" w:beforeAutospacing="1" w:after="100" w:afterAutospacing="1"/>
      <w:jc w:val="left"/>
    </w:pPr>
    <w:rPr>
      <w:rFonts w:ascii="宋体" w:hAnsi="宋体" w:cs="宋体"/>
      <w:kern w:val="0"/>
      <w:sz w:val="24"/>
    </w:rPr>
  </w:style>
  <w:style w:type="character" w:styleId="9">
    <w:name w:val="Strong"/>
    <w:basedOn w:val="8"/>
    <w:qFormat/>
    <w:uiPriority w:val="0"/>
    <w:rPr>
      <w:b/>
    </w:rPr>
  </w:style>
  <w:style w:type="character" w:customStyle="1" w:styleId="10">
    <w:name w:val="页眉 Char"/>
    <w:basedOn w:val="8"/>
    <w:link w:val="5"/>
    <w:uiPriority w:val="0"/>
    <w:rPr>
      <w:kern w:val="2"/>
      <w:sz w:val="18"/>
      <w:szCs w:val="18"/>
    </w:rPr>
  </w:style>
  <w:style w:type="character" w:customStyle="1" w:styleId="11">
    <w:name w:val="页脚 Char"/>
    <w:basedOn w:val="8"/>
    <w:link w:val="4"/>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786</Words>
  <Characters>4482</Characters>
  <Lines>37</Lines>
  <Paragraphs>10</Paragraphs>
  <TotalTime>123</TotalTime>
  <ScaleCrop>false</ScaleCrop>
  <LinksUpToDate>false</LinksUpToDate>
  <CharactersWithSpaces>5258</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2023-01-09T02:15:00Z</dcterms:created>
  <dc:creator>微软用户</dc:creator>
  <cp:lastModifiedBy>李海静</cp:lastModifiedBy>
  <cp:lastPrinted>2019-01-15T08:53:00Z</cp:lastPrinted>
  <dcterms:modified xsi:type="dcterms:W3CDTF">2025-07-25T06:39:27Z</dcterms:modified>
  <dc:title>安徽省财政厅2015年部门预算</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